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B133" w14:textId="1596E1A4" w:rsidR="00C572F4" w:rsidRDefault="00C572F4" w:rsidP="00C572F4">
      <w:pPr>
        <w:pStyle w:val="Title"/>
        <w:spacing w:before="0"/>
      </w:pPr>
      <w:r>
        <w:rPr>
          <w:noProof/>
        </w:rPr>
        <w:drawing>
          <wp:anchor distT="0" distB="0" distL="0" distR="0" simplePos="0" relativeHeight="251659264" behindDoc="0" locked="0" layoutInCell="1" allowOverlap="1" wp14:anchorId="44240A18" wp14:editId="1CAB355A">
            <wp:simplePos x="0" y="0"/>
            <wp:positionH relativeFrom="page">
              <wp:posOffset>384810</wp:posOffset>
            </wp:positionH>
            <wp:positionV relativeFrom="paragraph">
              <wp:posOffset>3810</wp:posOffset>
            </wp:positionV>
            <wp:extent cx="971550" cy="1039495"/>
            <wp:effectExtent l="0" t="0" r="0" b="8255"/>
            <wp:wrapNone/>
            <wp:docPr id="1643079379" name="Picture 6" descr="A logo of a far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3079379" name="Picture 6" descr="A logo of a farm&#10;&#10;AI-generated content may be incorrect."/>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1039495"/>
                    </a:xfrm>
                    <a:prstGeom prst="rect">
                      <a:avLst/>
                    </a:prstGeom>
                    <a:noFill/>
                  </pic:spPr>
                </pic:pic>
              </a:graphicData>
            </a:graphic>
            <wp14:sizeRelH relativeFrom="page">
              <wp14:pctWidth>0</wp14:pctWidth>
            </wp14:sizeRelH>
            <wp14:sizeRelV relativeFrom="page">
              <wp14:pctHeight>0</wp14:pctHeight>
            </wp14:sizeRelV>
          </wp:anchor>
        </w:drawing>
      </w:r>
      <w:r>
        <w:rPr>
          <w:color w:val="595950"/>
          <w:w w:val="105"/>
        </w:rPr>
        <w:t>SHIRE</w:t>
      </w:r>
      <w:r>
        <w:rPr>
          <w:color w:val="595950"/>
          <w:spacing w:val="60"/>
          <w:w w:val="105"/>
        </w:rPr>
        <w:t xml:space="preserve"> </w:t>
      </w:r>
      <w:r>
        <w:rPr>
          <w:color w:val="595950"/>
          <w:w w:val="105"/>
        </w:rPr>
        <w:t>OF</w:t>
      </w:r>
      <w:r>
        <w:rPr>
          <w:color w:val="595950"/>
          <w:spacing w:val="53"/>
          <w:w w:val="105"/>
        </w:rPr>
        <w:t xml:space="preserve"> </w:t>
      </w:r>
      <w:r>
        <w:rPr>
          <w:color w:val="595950"/>
          <w:spacing w:val="-2"/>
          <w:w w:val="105"/>
        </w:rPr>
        <w:t>MUKINBUDIN</w:t>
      </w:r>
    </w:p>
    <w:p w14:paraId="7DA5D5A1" w14:textId="20EE5F54" w:rsidR="00C572F4" w:rsidRDefault="00C572F4" w:rsidP="00C572F4">
      <w:pPr>
        <w:pStyle w:val="BodyText"/>
        <w:spacing w:before="4"/>
        <w:jc w:val="left"/>
        <w:rPr>
          <w:rFonts w:ascii="Times New Roman"/>
          <w:b/>
          <w:sz w:val="9"/>
        </w:rPr>
      </w:pPr>
      <w:r>
        <w:rPr>
          <w:noProof/>
        </w:rPr>
        <mc:AlternateContent>
          <mc:Choice Requires="wps">
            <w:drawing>
              <wp:anchor distT="0" distB="0" distL="0" distR="0" simplePos="0" relativeHeight="251660288" behindDoc="1" locked="0" layoutInCell="1" allowOverlap="1" wp14:anchorId="35A40CB1" wp14:editId="66247D78">
                <wp:simplePos x="0" y="0"/>
                <wp:positionH relativeFrom="page">
                  <wp:posOffset>1553845</wp:posOffset>
                </wp:positionH>
                <wp:positionV relativeFrom="paragraph">
                  <wp:posOffset>83820</wp:posOffset>
                </wp:positionV>
                <wp:extent cx="5765800" cy="1270"/>
                <wp:effectExtent l="0" t="0" r="0" b="0"/>
                <wp:wrapTopAndBottom/>
                <wp:docPr id="612031557"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0" cy="1270"/>
                        </a:xfrm>
                        <a:custGeom>
                          <a:avLst/>
                          <a:gdLst/>
                          <a:ahLst/>
                          <a:cxnLst/>
                          <a:rect l="l" t="t" r="r" b="b"/>
                          <a:pathLst>
                            <a:path w="5765800">
                              <a:moveTo>
                                <a:pt x="0" y="0"/>
                              </a:moveTo>
                              <a:lnTo>
                                <a:pt x="5765483" y="0"/>
                              </a:lnTo>
                            </a:path>
                          </a:pathLst>
                        </a:custGeom>
                        <a:ln w="9159">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48D70D" id="Freeform: Shape 5" o:spid="_x0000_s1026" style="position:absolute;margin-left:122.35pt;margin-top:6.6pt;width:45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p5JwIAAIMEAAAOAAAAZHJzL2Uyb0RvYy54bWysVE2P2jAQvVfqf7B8LwFadtmIsKoWbVVp&#10;tbvSUvVsHIdEdTzu2JDQX9+x8wGlt6ocrLHnZfzmvTGr+7bW7KjQVWAyPptMOVNGQl6Zfca/bR8/&#10;LDlzXphcaDAq4yfl+P36/btVY1M1hxJ0rpBREePSxma89N6mSeJkqWrhJmCVoWQBWAtPW9wnOYqG&#10;qtc6mU+nN0kDmFsEqZyj002X5OtYvyiU9C9F4ZRnOuPEzccV47oLa7JeiXSPwpaV7GmIf2BRi8rQ&#10;pWOpjfCCHbD6q1RdSQQHhZ9IqBMoikqq2AN1M5tedfNWCqtiLySOs6NM7v+Vlc/HN/uKgbqzTyB/&#10;OFIkaaxLx0zYuB7TFlgHLBFnbVTxNKqoWs8kHS5ubxbLKYktKTeb30aRE5EO38qD818UxDri+OR8&#10;50E+RKIcItmaIURyMnioo4eeM/IQOSMPd52HVvjwXSAXQtaciYSzGo5qCzHrr5gTtXNWm0tUaOXT&#10;8iNnQ5eE7RAUhGtIqy6IV1N82Zw2gcXdbHEXR8OBrvLHSuvAwuF+96CRHUUYzPgLfVCFP2AWnd8I&#10;V3a4mOph2vQ+ddYEk3aQn16ppEL/Qkuhga6XurKclYC/rs8amvqMu58HgYoz/dXQWIUnMgQ4BLsh&#10;QK8fID6kKCRx27bfBVoWaGbc0wQ8wzC0Ih3MDRKN2PClgc8HD0UVnI+z1jHvNzTpUYj+VYandLmP&#10;qPN/x/o3AAAA//8DAFBLAwQUAAYACAAAACEAnS8z6eAAAAAKAQAADwAAAGRycy9kb3ducmV2Lnht&#10;bEyPzU7DMBCE70i8g7VIXBB1EsJfiFO1lapWHBAUHsCNt0lEvA6x2yZvz+YEx535NDuTzwfbihP2&#10;vnGkIJ5FIJBKZxqqFHx9rm+fQPigyejWESoY0cO8uLzIdWbcmT7wtAuV4BDymVZQh9BlUvqyRqv9&#10;zHVI7B1cb3Xgs6+k6fWZw20rkyh6kFY3xB9q3eGqxvJ7d7QK1m8yrprN9nV4Xi3fD4ubcbP8GZW6&#10;vhoWLyACDuEPhqk+V4eCO+3dkYwXrYIkTR8ZZeMuATEB8X3Cyn5SUpBFLv9PKH4BAAD//wMAUEsB&#10;Ai0AFAAGAAgAAAAhALaDOJL+AAAA4QEAABMAAAAAAAAAAAAAAAAAAAAAAFtDb250ZW50X1R5cGVz&#10;XS54bWxQSwECLQAUAAYACAAAACEAOP0h/9YAAACUAQAACwAAAAAAAAAAAAAAAAAvAQAAX3JlbHMv&#10;LnJlbHNQSwECLQAUAAYACAAAACEAkAzaeScCAACDBAAADgAAAAAAAAAAAAAAAAAuAgAAZHJzL2Uy&#10;b0RvYy54bWxQSwECLQAUAAYACAAAACEAnS8z6eAAAAAKAQAADwAAAAAAAAAAAAAAAACBBAAAZHJz&#10;L2Rvd25yZXYueG1sUEsFBgAAAAAEAAQA8wAAAI4FAAAAAA==&#10;" path="m,l5765483,e" filled="f" strokeweight=".25442mm">
                <v:path arrowok="t"/>
                <w10:wrap type="topAndBottom" anchorx="page"/>
              </v:shape>
            </w:pict>
          </mc:Fallback>
        </mc:AlternateContent>
      </w:r>
    </w:p>
    <w:p w14:paraId="5E01751A" w14:textId="77777777" w:rsidR="00C572F4" w:rsidRDefault="00C572F4" w:rsidP="00C572F4">
      <w:pPr>
        <w:pStyle w:val="BodyText"/>
        <w:spacing w:before="167"/>
        <w:ind w:right="111"/>
      </w:pPr>
      <w:r>
        <w:rPr>
          <w:color w:val="595950"/>
          <w:w w:val="105"/>
        </w:rPr>
        <w:t>1</w:t>
      </w:r>
      <w:r>
        <w:rPr>
          <w:color w:val="595950"/>
          <w:spacing w:val="-22"/>
          <w:w w:val="105"/>
        </w:rPr>
        <w:t xml:space="preserve"> </w:t>
      </w:r>
      <w:r>
        <w:rPr>
          <w:color w:val="595950"/>
          <w:w w:val="105"/>
        </w:rPr>
        <w:t>5</w:t>
      </w:r>
      <w:r>
        <w:rPr>
          <w:color w:val="595950"/>
          <w:spacing w:val="-1"/>
          <w:w w:val="105"/>
        </w:rPr>
        <w:t xml:space="preserve"> </w:t>
      </w:r>
      <w:r>
        <w:rPr>
          <w:color w:val="595950"/>
          <w:w w:val="105"/>
        </w:rPr>
        <w:t>Maddock</w:t>
      </w:r>
      <w:r>
        <w:rPr>
          <w:color w:val="595950"/>
          <w:spacing w:val="9"/>
          <w:w w:val="105"/>
        </w:rPr>
        <w:t xml:space="preserve"> </w:t>
      </w:r>
      <w:r>
        <w:rPr>
          <w:color w:val="595950"/>
          <w:spacing w:val="-2"/>
          <w:w w:val="105"/>
        </w:rPr>
        <w:t>Street</w:t>
      </w:r>
    </w:p>
    <w:p w14:paraId="78F64AC5" w14:textId="77777777" w:rsidR="00C572F4" w:rsidRDefault="00C572F4" w:rsidP="00C572F4">
      <w:pPr>
        <w:pStyle w:val="BodyText"/>
        <w:ind w:right="132"/>
      </w:pPr>
      <w:r>
        <w:rPr>
          <w:color w:val="595950"/>
          <w:w w:val="105"/>
        </w:rPr>
        <w:t>PO</w:t>
      </w:r>
      <w:r>
        <w:rPr>
          <w:color w:val="595950"/>
          <w:spacing w:val="-12"/>
          <w:w w:val="105"/>
        </w:rPr>
        <w:t xml:space="preserve"> </w:t>
      </w:r>
      <w:r>
        <w:rPr>
          <w:color w:val="595950"/>
          <w:w w:val="105"/>
        </w:rPr>
        <w:t>Box</w:t>
      </w:r>
      <w:r>
        <w:rPr>
          <w:color w:val="595950"/>
          <w:spacing w:val="-5"/>
          <w:w w:val="105"/>
        </w:rPr>
        <w:t xml:space="preserve"> 67</w:t>
      </w:r>
    </w:p>
    <w:p w14:paraId="1B9F7017" w14:textId="77777777" w:rsidR="00C572F4" w:rsidRDefault="00C572F4" w:rsidP="00C572F4">
      <w:pPr>
        <w:pStyle w:val="BodyText"/>
        <w:ind w:right="108"/>
      </w:pPr>
      <w:r>
        <w:rPr>
          <w:color w:val="595950"/>
          <w:spacing w:val="-2"/>
        </w:rPr>
        <w:t>MUKINBUDIN</w:t>
      </w:r>
      <w:r>
        <w:rPr>
          <w:color w:val="595950"/>
          <w:spacing w:val="1"/>
        </w:rPr>
        <w:t xml:space="preserve"> </w:t>
      </w:r>
      <w:r>
        <w:rPr>
          <w:color w:val="595950"/>
          <w:spacing w:val="-2"/>
        </w:rPr>
        <w:t>WA</w:t>
      </w:r>
      <w:r>
        <w:rPr>
          <w:color w:val="595950"/>
          <w:spacing w:val="-3"/>
        </w:rPr>
        <w:t xml:space="preserve"> </w:t>
      </w:r>
      <w:r>
        <w:rPr>
          <w:color w:val="595950"/>
          <w:spacing w:val="-4"/>
        </w:rPr>
        <w:t>6479</w:t>
      </w:r>
    </w:p>
    <w:p w14:paraId="4E9BD408" w14:textId="77777777" w:rsidR="00C572F4" w:rsidRDefault="00C572F4" w:rsidP="00C572F4">
      <w:pPr>
        <w:spacing w:before="16"/>
        <w:ind w:right="103"/>
        <w:jc w:val="right"/>
        <w:rPr>
          <w:sz w:val="17"/>
        </w:rPr>
      </w:pPr>
      <w:r>
        <w:rPr>
          <w:color w:val="595950"/>
          <w:w w:val="110"/>
          <w:sz w:val="17"/>
        </w:rPr>
        <w:t>Ph:</w:t>
      </w:r>
      <w:r>
        <w:rPr>
          <w:color w:val="595950"/>
          <w:spacing w:val="-5"/>
          <w:w w:val="110"/>
          <w:sz w:val="17"/>
        </w:rPr>
        <w:t xml:space="preserve"> </w:t>
      </w:r>
      <w:r>
        <w:rPr>
          <w:color w:val="595950"/>
          <w:w w:val="110"/>
          <w:sz w:val="17"/>
        </w:rPr>
        <w:t>(08)</w:t>
      </w:r>
      <w:r>
        <w:rPr>
          <w:color w:val="595950"/>
          <w:spacing w:val="-1"/>
          <w:w w:val="110"/>
          <w:sz w:val="17"/>
        </w:rPr>
        <w:t xml:space="preserve"> </w:t>
      </w:r>
      <w:r>
        <w:rPr>
          <w:color w:val="595950"/>
          <w:w w:val="110"/>
          <w:sz w:val="17"/>
        </w:rPr>
        <w:t>9047</w:t>
      </w:r>
      <w:r>
        <w:rPr>
          <w:color w:val="595950"/>
          <w:spacing w:val="2"/>
          <w:w w:val="110"/>
          <w:sz w:val="17"/>
        </w:rPr>
        <w:t xml:space="preserve"> </w:t>
      </w:r>
      <w:r>
        <w:rPr>
          <w:color w:val="595950"/>
          <w:spacing w:val="-4"/>
          <w:w w:val="110"/>
          <w:sz w:val="17"/>
        </w:rPr>
        <w:t>2100</w:t>
      </w:r>
    </w:p>
    <w:p w14:paraId="4BF68321" w14:textId="77777777" w:rsidR="00C572F4" w:rsidRDefault="00C572F4" w:rsidP="00C572F4">
      <w:pPr>
        <w:pStyle w:val="BodyText"/>
        <w:spacing w:before="30" w:line="271" w:lineRule="auto"/>
        <w:ind w:right="86"/>
        <w:rPr>
          <w:color w:val="595950"/>
          <w:w w:val="105"/>
        </w:rPr>
      </w:pPr>
      <w:r>
        <w:rPr>
          <w:color w:val="595950"/>
          <w:w w:val="105"/>
        </w:rPr>
        <w:t>Email:</w:t>
      </w:r>
      <w:r>
        <w:rPr>
          <w:color w:val="595950"/>
          <w:spacing w:val="-12"/>
          <w:w w:val="105"/>
        </w:rPr>
        <w:t xml:space="preserve"> </w:t>
      </w:r>
      <w:hyperlink r:id="rId6" w:history="1">
        <w:r>
          <w:rPr>
            <w:rStyle w:val="Hyperlink"/>
            <w:color w:val="595950"/>
            <w:w w:val="105"/>
            <w:u w:val="none"/>
          </w:rPr>
          <w:t>admin@mukinbudin.wa.gov.au</w:t>
        </w:r>
      </w:hyperlink>
      <w:r>
        <w:rPr>
          <w:color w:val="595950"/>
          <w:w w:val="105"/>
        </w:rPr>
        <w:t xml:space="preserve"> </w:t>
      </w:r>
    </w:p>
    <w:p w14:paraId="4B222127" w14:textId="6F2A7C7C" w:rsidR="00C572F4" w:rsidRDefault="00C572F4" w:rsidP="00C572F4">
      <w:pPr>
        <w:pStyle w:val="BodyText"/>
        <w:spacing w:before="30" w:line="271" w:lineRule="auto"/>
        <w:ind w:right="86"/>
      </w:pPr>
      <w:r>
        <w:rPr>
          <w:color w:val="595950"/>
          <w:w w:val="105"/>
        </w:rPr>
        <w:t>Web:</w:t>
      </w:r>
      <w:r>
        <w:rPr>
          <w:color w:val="595950"/>
          <w:spacing w:val="-2"/>
          <w:w w:val="105"/>
        </w:rPr>
        <w:t xml:space="preserve"> </w:t>
      </w:r>
      <w:hyperlink r:id="rId7" w:history="1">
        <w:r>
          <w:rPr>
            <w:rStyle w:val="Hyperlink"/>
            <w:color w:val="595950"/>
            <w:spacing w:val="-2"/>
            <w:w w:val="105"/>
            <w:u w:val="none"/>
          </w:rPr>
          <w:t>www.mukinbudin.wa.gov.au</w:t>
        </w:r>
      </w:hyperlink>
    </w:p>
    <w:p w14:paraId="74BC530F" w14:textId="6C9CCBA5" w:rsidR="00173C3F" w:rsidRPr="00173C3F" w:rsidRDefault="00173C3F" w:rsidP="00173C3F">
      <w:pPr>
        <w:spacing w:after="100" w:afterAutospacing="1" w:line="288" w:lineRule="atLeast"/>
        <w:outlineLvl w:val="1"/>
        <w:rPr>
          <w:rFonts w:eastAsia="Times New Roman" w:cstheme="minorHAnsi"/>
          <w:color w:val="172C44"/>
          <w:sz w:val="44"/>
          <w:szCs w:val="44"/>
          <w:lang w:eastAsia="en-AU"/>
        </w:rPr>
      </w:pPr>
      <w:r w:rsidRPr="00173C3F">
        <w:rPr>
          <w:rFonts w:eastAsia="Times New Roman" w:cstheme="minorHAnsi"/>
          <w:color w:val="172C44"/>
          <w:sz w:val="44"/>
          <w:szCs w:val="44"/>
          <w:lang w:eastAsia="en-AU"/>
        </w:rPr>
        <w:t>Important notes</w:t>
      </w:r>
    </w:p>
    <w:p w14:paraId="77CB6E71" w14:textId="77777777" w:rsidR="00173C3F" w:rsidRPr="00173C3F" w:rsidRDefault="00173C3F" w:rsidP="00173C3F">
      <w:pPr>
        <w:numPr>
          <w:ilvl w:val="0"/>
          <w:numId w:val="1"/>
        </w:numPr>
        <w:spacing w:after="75" w:line="240" w:lineRule="auto"/>
        <w:ind w:left="1140" w:hanging="345"/>
        <w:rPr>
          <w:rFonts w:eastAsia="Times New Roman" w:cstheme="minorHAnsi"/>
          <w:color w:val="383838"/>
          <w:lang w:eastAsia="en-AU"/>
        </w:rPr>
      </w:pPr>
      <w:r w:rsidRPr="00173C3F">
        <w:rPr>
          <w:rFonts w:eastAsia="Times New Roman" w:cstheme="minorHAnsi"/>
          <w:color w:val="383838"/>
          <w:lang w:eastAsia="en-AU"/>
        </w:rPr>
        <w:t xml:space="preserve">Applications submitted without </w:t>
      </w:r>
      <w:proofErr w:type="gramStart"/>
      <w:r w:rsidRPr="00173C3F">
        <w:rPr>
          <w:rFonts w:eastAsia="Times New Roman" w:cstheme="minorHAnsi"/>
          <w:color w:val="383838"/>
          <w:lang w:eastAsia="en-AU"/>
        </w:rPr>
        <w:t>all of</w:t>
      </w:r>
      <w:proofErr w:type="gramEnd"/>
      <w:r w:rsidRPr="00173C3F">
        <w:rPr>
          <w:rFonts w:eastAsia="Times New Roman" w:cstheme="minorHAnsi"/>
          <w:color w:val="383838"/>
          <w:lang w:eastAsia="en-AU"/>
        </w:rPr>
        <w:t xml:space="preserve"> the applicable items listed below, will not be accepted and will be returned.</w:t>
      </w:r>
    </w:p>
    <w:p w14:paraId="5258D8F7" w14:textId="77777777" w:rsidR="00173C3F" w:rsidRPr="00173C3F" w:rsidRDefault="00173C3F" w:rsidP="00173C3F">
      <w:pPr>
        <w:numPr>
          <w:ilvl w:val="0"/>
          <w:numId w:val="1"/>
        </w:numPr>
        <w:spacing w:beforeAutospacing="1" w:after="0" w:line="240" w:lineRule="auto"/>
        <w:ind w:left="1140" w:hanging="345"/>
        <w:rPr>
          <w:rFonts w:eastAsia="Times New Roman" w:cstheme="minorHAnsi"/>
          <w:color w:val="383838"/>
          <w:lang w:eastAsia="en-AU"/>
        </w:rPr>
      </w:pPr>
      <w:r w:rsidRPr="00173C3F">
        <w:rPr>
          <w:rFonts w:eastAsia="Times New Roman" w:cstheme="minorHAnsi"/>
          <w:color w:val="383838"/>
          <w:lang w:eastAsia="en-AU"/>
        </w:rPr>
        <w:t>The </w:t>
      </w:r>
      <w:r w:rsidRPr="00173C3F">
        <w:rPr>
          <w:rFonts w:eastAsia="Times New Roman" w:cstheme="minorHAnsi"/>
          <w:i/>
          <w:iCs/>
          <w:color w:val="383838"/>
          <w:lang w:eastAsia="en-AU"/>
        </w:rPr>
        <w:t>Building Act 2011</w:t>
      </w:r>
      <w:r w:rsidRPr="00173C3F">
        <w:rPr>
          <w:rFonts w:eastAsia="Times New Roman" w:cstheme="minorHAnsi"/>
          <w:color w:val="383838"/>
          <w:lang w:eastAsia="en-AU"/>
        </w:rPr>
        <w:t> requires that all applicable approvals, including planning approval, are obtained prior to lodgement of a building permit application.</w:t>
      </w:r>
    </w:p>
    <w:p w14:paraId="35885592" w14:textId="77777777" w:rsidR="00173C3F" w:rsidRPr="00173C3F" w:rsidRDefault="00173C3F" w:rsidP="00173C3F">
      <w:pPr>
        <w:numPr>
          <w:ilvl w:val="0"/>
          <w:numId w:val="1"/>
        </w:numPr>
        <w:spacing w:before="100" w:beforeAutospacing="1" w:after="0" w:line="240" w:lineRule="auto"/>
        <w:ind w:left="1140" w:hanging="345"/>
        <w:rPr>
          <w:rFonts w:eastAsia="Times New Roman" w:cstheme="minorHAnsi"/>
          <w:color w:val="383838"/>
          <w:lang w:eastAsia="en-AU"/>
        </w:rPr>
      </w:pPr>
      <w:r w:rsidRPr="00173C3F">
        <w:rPr>
          <w:rFonts w:eastAsia="Times New Roman" w:cstheme="minorHAnsi"/>
          <w:color w:val="383838"/>
          <w:lang w:eastAsia="en-AU"/>
        </w:rPr>
        <w:t>This list is not a complete list of all requirements but is a general guide of the minimum information required.</w:t>
      </w:r>
    </w:p>
    <w:p w14:paraId="4A4793B6" w14:textId="77777777" w:rsidR="00173C3F" w:rsidRPr="00173C3F" w:rsidRDefault="00173C3F" w:rsidP="00173C3F">
      <w:pPr>
        <w:spacing w:after="100" w:afterAutospacing="1" w:line="288" w:lineRule="atLeast"/>
        <w:outlineLvl w:val="1"/>
        <w:rPr>
          <w:rFonts w:eastAsia="Times New Roman" w:cstheme="minorHAnsi"/>
          <w:color w:val="172C44"/>
          <w:sz w:val="44"/>
          <w:szCs w:val="44"/>
          <w:lang w:eastAsia="en-AU"/>
        </w:rPr>
      </w:pPr>
      <w:r w:rsidRPr="00173C3F">
        <w:rPr>
          <w:rFonts w:eastAsia="Times New Roman" w:cstheme="minorHAnsi"/>
          <w:color w:val="172C44"/>
          <w:sz w:val="44"/>
          <w:szCs w:val="44"/>
          <w:lang w:eastAsia="en-AU"/>
        </w:rPr>
        <w:t>Class definitions</w:t>
      </w:r>
    </w:p>
    <w:p w14:paraId="36FA8682" w14:textId="77777777" w:rsidR="00173C3F" w:rsidRPr="00173C3F" w:rsidRDefault="00173C3F" w:rsidP="00173C3F">
      <w:pPr>
        <w:spacing w:after="100" w:afterAutospacing="1" w:line="288" w:lineRule="atLeast"/>
        <w:outlineLvl w:val="2"/>
        <w:rPr>
          <w:rFonts w:eastAsia="Times New Roman" w:cstheme="minorHAnsi"/>
          <w:color w:val="172C44"/>
          <w:sz w:val="24"/>
          <w:szCs w:val="24"/>
          <w:lang w:eastAsia="en-AU"/>
        </w:rPr>
      </w:pPr>
      <w:r w:rsidRPr="00173C3F">
        <w:rPr>
          <w:rFonts w:eastAsia="Times New Roman" w:cstheme="minorHAnsi"/>
          <w:color w:val="172C44"/>
          <w:sz w:val="24"/>
          <w:szCs w:val="24"/>
          <w:lang w:eastAsia="en-AU"/>
        </w:rPr>
        <w:t>Class 1a</w:t>
      </w:r>
    </w:p>
    <w:p w14:paraId="4406F774"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t>A single dwelling (and additions) being a detached house or one of a group of associated dwellings, town houses, villas and the like separated by a fire-resisting wall or fire source feature spacing.</w:t>
      </w:r>
    </w:p>
    <w:p w14:paraId="5A4FE8E4" w14:textId="77777777" w:rsidR="00173C3F" w:rsidRPr="00173C3F" w:rsidRDefault="00173C3F" w:rsidP="00173C3F">
      <w:pPr>
        <w:spacing w:after="100" w:afterAutospacing="1" w:line="288" w:lineRule="atLeast"/>
        <w:outlineLvl w:val="2"/>
        <w:rPr>
          <w:rFonts w:eastAsia="Times New Roman" w:cstheme="minorHAnsi"/>
          <w:color w:val="172C44"/>
          <w:sz w:val="24"/>
          <w:szCs w:val="24"/>
          <w:lang w:eastAsia="en-AU"/>
        </w:rPr>
      </w:pPr>
      <w:r w:rsidRPr="00173C3F">
        <w:rPr>
          <w:rFonts w:eastAsia="Times New Roman" w:cstheme="minorHAnsi"/>
          <w:color w:val="172C44"/>
          <w:sz w:val="24"/>
          <w:szCs w:val="24"/>
          <w:lang w:eastAsia="en-AU"/>
        </w:rPr>
        <w:t>Class 1b</w:t>
      </w:r>
    </w:p>
    <w:p w14:paraId="46A6652B"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t>A boarding house, guest house, hostel or the like with a floor area of less than 300m2 and designed for less than 12 people to reside or a short-term holiday accommodation of four or more single dwellings or cabins on the one allotment.</w:t>
      </w:r>
    </w:p>
    <w:p w14:paraId="78840380" w14:textId="77777777" w:rsidR="00173C3F" w:rsidRPr="00173C3F" w:rsidRDefault="00173C3F" w:rsidP="00173C3F">
      <w:pPr>
        <w:spacing w:after="100" w:afterAutospacing="1" w:line="288" w:lineRule="atLeast"/>
        <w:outlineLvl w:val="1"/>
        <w:rPr>
          <w:rFonts w:eastAsia="Times New Roman" w:cstheme="minorHAnsi"/>
          <w:color w:val="172C44"/>
          <w:sz w:val="44"/>
          <w:szCs w:val="44"/>
          <w:lang w:eastAsia="en-AU"/>
        </w:rPr>
      </w:pPr>
      <w:r w:rsidRPr="00173C3F">
        <w:rPr>
          <w:rFonts w:eastAsia="Times New Roman" w:cstheme="minorHAnsi"/>
          <w:color w:val="172C44"/>
          <w:sz w:val="44"/>
          <w:szCs w:val="44"/>
          <w:lang w:eastAsia="en-AU"/>
        </w:rPr>
        <w:t>Information required (mandatory)</w:t>
      </w:r>
    </w:p>
    <w:p w14:paraId="7B874061"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Building approval forms</w:t>
      </w:r>
    </w:p>
    <w:p w14:paraId="0EBDC53F"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t>Form BA1 Certified Building Application and Form BA3 Certificate of Design Compliance (issued by a private Registered Building Surveyor Contractor).  </w:t>
      </w:r>
    </w:p>
    <w:p w14:paraId="2144CD0B"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t>Note, all the plans and documents listed on the Certificate of Design Compliance must be submitted with the application.</w:t>
      </w:r>
    </w:p>
    <w:p w14:paraId="677AD997" w14:textId="77777777" w:rsidR="00173C3F" w:rsidRPr="00173C3F" w:rsidRDefault="00173C3F" w:rsidP="00173C3F">
      <w:pPr>
        <w:spacing w:beforeAutospacing="1" w:after="0" w:afterAutospacing="1" w:line="240" w:lineRule="auto"/>
        <w:rPr>
          <w:rFonts w:eastAsia="Times New Roman" w:cstheme="minorHAnsi"/>
          <w:color w:val="383838"/>
          <w:lang w:eastAsia="en-AU"/>
        </w:rPr>
      </w:pPr>
      <w:hyperlink r:id="rId8" w:tgtFrame="_blank" w:history="1">
        <w:r w:rsidRPr="00173C3F">
          <w:rPr>
            <w:rFonts w:eastAsia="Times New Roman" w:cstheme="minorHAnsi"/>
            <w:color w:val="000000"/>
            <w:u w:val="single"/>
            <w:lang w:eastAsia="en-AU"/>
          </w:rPr>
          <w:t>Access forms BA1 and BA3</w:t>
        </w:r>
      </w:hyperlink>
      <w:r w:rsidRPr="00173C3F">
        <w:rPr>
          <w:rFonts w:eastAsia="Times New Roman" w:cstheme="minorHAnsi"/>
          <w:color w:val="383838"/>
          <w:lang w:eastAsia="en-AU"/>
        </w:rPr>
        <w:t>  (available on the Department of Mines, Industry Regulation and Safety website).</w:t>
      </w:r>
    </w:p>
    <w:p w14:paraId="6EFA5157"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Indemnity insurance</w:t>
      </w:r>
    </w:p>
    <w:p w14:paraId="140F6E7E"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lastRenderedPageBreak/>
        <w:t>Copy of insurance policy if registered builder. Note, this is not applicable for Owner Builder.</w:t>
      </w:r>
    </w:p>
    <w:p w14:paraId="2F0EA33A" w14:textId="77777777" w:rsidR="00173C3F" w:rsidRPr="00173C3F" w:rsidRDefault="00173C3F" w:rsidP="00173C3F">
      <w:pPr>
        <w:spacing w:beforeAutospacing="1" w:after="0" w:afterAutospacing="1" w:line="240" w:lineRule="auto"/>
        <w:rPr>
          <w:rFonts w:eastAsia="Times New Roman" w:cstheme="minorHAnsi"/>
          <w:color w:val="383838"/>
          <w:lang w:eastAsia="en-AU"/>
        </w:rPr>
      </w:pPr>
      <w:r w:rsidRPr="00173C3F">
        <w:rPr>
          <w:rFonts w:eastAsia="Times New Roman" w:cstheme="minorHAnsi"/>
          <w:color w:val="383838"/>
          <w:lang w:eastAsia="en-AU"/>
        </w:rPr>
        <w:t>Find out more about </w:t>
      </w:r>
      <w:hyperlink r:id="rId9" w:tgtFrame="_blank" w:history="1">
        <w:r w:rsidRPr="00173C3F">
          <w:rPr>
            <w:rFonts w:eastAsia="Times New Roman" w:cstheme="minorHAnsi"/>
            <w:color w:val="000000"/>
            <w:u w:val="single"/>
            <w:lang w:eastAsia="en-AU"/>
          </w:rPr>
          <w:t>home indemnity insurance</w:t>
        </w:r>
      </w:hyperlink>
      <w:r w:rsidRPr="00173C3F">
        <w:rPr>
          <w:rFonts w:eastAsia="Times New Roman" w:cstheme="minorHAnsi"/>
          <w:color w:val="383838"/>
          <w:lang w:eastAsia="en-AU"/>
        </w:rPr>
        <w:t>.</w:t>
      </w:r>
    </w:p>
    <w:p w14:paraId="5F98BE89"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Builder’s registration details or Owner Builder’s Licence</w:t>
      </w:r>
    </w:p>
    <w:p w14:paraId="01D27F24"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t>Required if estimated construction value is over $20,000 in non-rural areas.</w:t>
      </w:r>
    </w:p>
    <w:p w14:paraId="036434BD" w14:textId="77777777" w:rsidR="00173C3F" w:rsidRPr="00173C3F" w:rsidRDefault="00173C3F" w:rsidP="00173C3F">
      <w:pPr>
        <w:spacing w:beforeAutospacing="1" w:after="0" w:afterAutospacing="1" w:line="240" w:lineRule="auto"/>
        <w:rPr>
          <w:rFonts w:eastAsia="Times New Roman" w:cstheme="minorHAnsi"/>
          <w:color w:val="383838"/>
          <w:lang w:eastAsia="en-AU"/>
        </w:rPr>
      </w:pPr>
      <w:hyperlink r:id="rId10" w:tgtFrame="_blank" w:history="1">
        <w:r w:rsidRPr="00173C3F">
          <w:rPr>
            <w:rFonts w:eastAsia="Times New Roman" w:cstheme="minorHAnsi"/>
            <w:color w:val="000000"/>
            <w:u w:val="single"/>
            <w:lang w:eastAsia="en-AU"/>
          </w:rPr>
          <w:t>Access form 75 Owner Builder Application</w:t>
        </w:r>
      </w:hyperlink>
      <w:r w:rsidRPr="00173C3F">
        <w:rPr>
          <w:rFonts w:eastAsia="Times New Roman" w:cstheme="minorHAnsi"/>
          <w:color w:val="383838"/>
          <w:lang w:eastAsia="en-AU"/>
        </w:rPr>
        <w:t> (available on the Department of Mines, Industry Regulation and Safety website).</w:t>
      </w:r>
    </w:p>
    <w:p w14:paraId="3647F408"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Drawings, site plan, specification, engineering details and relevant reports</w:t>
      </w:r>
    </w:p>
    <w:p w14:paraId="01699850" w14:textId="77777777" w:rsidR="00173C3F" w:rsidRPr="00173C3F" w:rsidRDefault="00173C3F" w:rsidP="00173C3F">
      <w:pPr>
        <w:spacing w:beforeAutospacing="1" w:after="0" w:afterAutospacing="1" w:line="240" w:lineRule="auto"/>
        <w:rPr>
          <w:rFonts w:eastAsia="Times New Roman" w:cstheme="minorHAnsi"/>
          <w:color w:val="383838"/>
          <w:lang w:eastAsia="en-AU"/>
        </w:rPr>
      </w:pPr>
      <w:r w:rsidRPr="00173C3F">
        <w:rPr>
          <w:rFonts w:eastAsia="Times New Roman" w:cstheme="minorHAnsi"/>
          <w:b/>
          <w:bCs/>
          <w:color w:val="383838"/>
          <w:lang w:eastAsia="en-AU"/>
        </w:rPr>
        <w:t>​​​​ </w:t>
      </w:r>
      <w:r w:rsidRPr="00173C3F">
        <w:rPr>
          <w:rFonts w:eastAsia="Times New Roman" w:cstheme="minorHAnsi"/>
          <w:color w:val="383838"/>
          <w:lang w:eastAsia="en-AU"/>
        </w:rPr>
        <w:t>Two detailed hard copies (not electronic) are required for:</w:t>
      </w:r>
    </w:p>
    <w:p w14:paraId="4B04EF35" w14:textId="77777777" w:rsidR="00173C3F" w:rsidRPr="00173C3F" w:rsidRDefault="00173C3F" w:rsidP="00173C3F">
      <w:pPr>
        <w:numPr>
          <w:ilvl w:val="0"/>
          <w:numId w:val="2"/>
        </w:numPr>
        <w:spacing w:after="75" w:line="240" w:lineRule="auto"/>
        <w:ind w:left="1140" w:hanging="345"/>
        <w:rPr>
          <w:rFonts w:eastAsia="Times New Roman" w:cstheme="minorHAnsi"/>
          <w:color w:val="383838"/>
          <w:lang w:eastAsia="en-AU"/>
        </w:rPr>
      </w:pPr>
      <w:r w:rsidRPr="00173C3F">
        <w:rPr>
          <w:rFonts w:eastAsia="Times New Roman" w:cstheme="minorHAnsi"/>
          <w:color w:val="383838"/>
          <w:lang w:eastAsia="en-AU"/>
        </w:rPr>
        <w:t>Scale Drawings; 1:200 Site Plan including levels = FFL and FGL, 1:20 Sectionals, 1:100 Elevations</w:t>
      </w:r>
    </w:p>
    <w:p w14:paraId="17599C4C" w14:textId="77777777" w:rsidR="00173C3F" w:rsidRPr="00173C3F" w:rsidRDefault="00173C3F" w:rsidP="00173C3F">
      <w:pPr>
        <w:numPr>
          <w:ilvl w:val="0"/>
          <w:numId w:val="2"/>
        </w:numPr>
        <w:spacing w:before="100" w:beforeAutospacing="1" w:after="75" w:line="240" w:lineRule="auto"/>
        <w:ind w:left="1140" w:hanging="345"/>
        <w:rPr>
          <w:rFonts w:eastAsia="Times New Roman" w:cstheme="minorHAnsi"/>
          <w:color w:val="383838"/>
          <w:lang w:eastAsia="en-AU"/>
        </w:rPr>
      </w:pPr>
      <w:r w:rsidRPr="00173C3F">
        <w:rPr>
          <w:rFonts w:eastAsia="Times New Roman" w:cstheme="minorHAnsi"/>
          <w:color w:val="383838"/>
          <w:lang w:eastAsia="en-AU"/>
        </w:rPr>
        <w:t>Specifications</w:t>
      </w:r>
    </w:p>
    <w:p w14:paraId="63CDDEF5" w14:textId="77777777" w:rsidR="00173C3F" w:rsidRPr="00173C3F" w:rsidRDefault="00173C3F" w:rsidP="00173C3F">
      <w:pPr>
        <w:numPr>
          <w:ilvl w:val="0"/>
          <w:numId w:val="2"/>
        </w:numPr>
        <w:spacing w:before="100" w:beforeAutospacing="1" w:after="75" w:line="240" w:lineRule="auto"/>
        <w:ind w:left="1140" w:hanging="345"/>
        <w:rPr>
          <w:rFonts w:eastAsia="Times New Roman" w:cstheme="minorHAnsi"/>
          <w:color w:val="383838"/>
          <w:lang w:eastAsia="en-AU"/>
        </w:rPr>
      </w:pPr>
      <w:r w:rsidRPr="00173C3F">
        <w:rPr>
          <w:rFonts w:eastAsia="Times New Roman" w:cstheme="minorHAnsi"/>
          <w:color w:val="383838"/>
          <w:lang w:eastAsia="en-AU"/>
        </w:rPr>
        <w:t>Engineered details (footing, slab, wall and roof)</w:t>
      </w:r>
    </w:p>
    <w:p w14:paraId="6BEF448D" w14:textId="77777777" w:rsidR="00173C3F" w:rsidRPr="00173C3F" w:rsidRDefault="00173C3F" w:rsidP="00173C3F">
      <w:pPr>
        <w:numPr>
          <w:ilvl w:val="0"/>
          <w:numId w:val="2"/>
        </w:numPr>
        <w:spacing w:before="100" w:beforeAutospacing="1" w:after="75" w:line="240" w:lineRule="auto"/>
        <w:ind w:left="1140" w:hanging="345"/>
        <w:rPr>
          <w:rFonts w:eastAsia="Times New Roman" w:cstheme="minorHAnsi"/>
          <w:color w:val="383838"/>
          <w:lang w:eastAsia="en-AU"/>
        </w:rPr>
      </w:pPr>
      <w:r w:rsidRPr="00173C3F">
        <w:rPr>
          <w:rFonts w:eastAsia="Times New Roman" w:cstheme="minorHAnsi"/>
          <w:color w:val="383838"/>
          <w:lang w:eastAsia="en-AU"/>
        </w:rPr>
        <w:t>Site classification (soil type and wind classification).</w:t>
      </w:r>
    </w:p>
    <w:p w14:paraId="5525D679" w14:textId="77777777" w:rsidR="00173C3F" w:rsidRPr="00173C3F" w:rsidRDefault="00173C3F" w:rsidP="00173C3F">
      <w:pPr>
        <w:numPr>
          <w:ilvl w:val="0"/>
          <w:numId w:val="2"/>
        </w:numPr>
        <w:spacing w:beforeAutospacing="1" w:after="0" w:line="240" w:lineRule="auto"/>
        <w:ind w:left="1140" w:hanging="345"/>
        <w:rPr>
          <w:rFonts w:eastAsia="Times New Roman" w:cstheme="minorHAnsi"/>
          <w:color w:val="383838"/>
          <w:lang w:eastAsia="en-AU"/>
        </w:rPr>
      </w:pPr>
      <w:r w:rsidRPr="00173C3F">
        <w:rPr>
          <w:rFonts w:eastAsia="Times New Roman" w:cstheme="minorHAnsi"/>
          <w:color w:val="383838"/>
          <w:lang w:eastAsia="en-AU"/>
        </w:rPr>
        <w:t>Bushfire Attack Level (BAL) site assessment report – only if in </w:t>
      </w:r>
      <w:hyperlink r:id="rId11" w:tgtFrame="_blank" w:history="1">
        <w:r w:rsidRPr="00173C3F">
          <w:rPr>
            <w:rFonts w:eastAsia="Times New Roman" w:cstheme="minorHAnsi"/>
            <w:color w:val="000000"/>
            <w:u w:val="single"/>
            <w:lang w:eastAsia="en-AU"/>
          </w:rPr>
          <w:t>designated bushfire prone areas</w:t>
        </w:r>
      </w:hyperlink>
    </w:p>
    <w:p w14:paraId="27A1C689" w14:textId="77777777" w:rsidR="00173C3F" w:rsidRPr="00173C3F" w:rsidRDefault="00173C3F" w:rsidP="00173C3F">
      <w:pPr>
        <w:numPr>
          <w:ilvl w:val="0"/>
          <w:numId w:val="2"/>
        </w:numPr>
        <w:spacing w:beforeAutospacing="1" w:after="0" w:line="240" w:lineRule="auto"/>
        <w:ind w:left="1140" w:hanging="345"/>
        <w:rPr>
          <w:rFonts w:eastAsia="Times New Roman" w:cstheme="minorHAnsi"/>
          <w:color w:val="383838"/>
          <w:lang w:eastAsia="en-AU"/>
        </w:rPr>
      </w:pPr>
      <w:r w:rsidRPr="00173C3F">
        <w:rPr>
          <w:rFonts w:eastAsia="Times New Roman" w:cstheme="minorHAnsi"/>
          <w:color w:val="383838"/>
          <w:lang w:eastAsia="en-AU"/>
        </w:rPr>
        <w:t>Energy Efficiency report (BCA compliant deemed to satisfy or alternative solutions provisions). For more information refer to </w:t>
      </w:r>
      <w:hyperlink r:id="rId12" w:tgtFrame="_blank" w:history="1">
        <w:r w:rsidRPr="00173C3F">
          <w:rPr>
            <w:rFonts w:eastAsia="Times New Roman" w:cstheme="minorHAnsi"/>
            <w:color w:val="000000"/>
            <w:u w:val="single"/>
            <w:lang w:eastAsia="en-AU"/>
          </w:rPr>
          <w:t>Energy Efficiency of Residential Buildings</w:t>
        </w:r>
      </w:hyperlink>
      <w:r w:rsidRPr="00173C3F">
        <w:rPr>
          <w:rFonts w:eastAsia="Times New Roman" w:cstheme="minorHAnsi"/>
          <w:color w:val="383838"/>
          <w:lang w:eastAsia="en-AU"/>
        </w:rPr>
        <w:t>.</w:t>
      </w:r>
    </w:p>
    <w:p w14:paraId="044A42CD"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t>Note, storm water discharge from buildings must be diverted away from structures and contained on site within the lot boundaries. Soak wells may be required on some sites at the rate of 65m2 surface area to 1m3 capacities. Where connection to Council’s stormwater system is available approval for the connection is required to be obtained from Council’s Engineering Department prior to the issue of a building permit.</w:t>
      </w:r>
    </w:p>
    <w:p w14:paraId="2FF15B76"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Water Corporation approval</w:t>
      </w:r>
    </w:p>
    <w:p w14:paraId="594E7F0E" w14:textId="77777777" w:rsidR="00173C3F" w:rsidRPr="00173C3F" w:rsidRDefault="00173C3F" w:rsidP="00173C3F">
      <w:pPr>
        <w:spacing w:beforeAutospacing="1" w:after="0" w:afterAutospacing="1" w:line="240" w:lineRule="auto"/>
        <w:rPr>
          <w:rFonts w:eastAsia="Times New Roman" w:cstheme="minorHAnsi"/>
          <w:color w:val="383838"/>
          <w:lang w:eastAsia="en-AU"/>
        </w:rPr>
      </w:pPr>
      <w:r w:rsidRPr="00173C3F">
        <w:rPr>
          <w:rFonts w:eastAsia="Times New Roman" w:cstheme="minorHAnsi"/>
          <w:color w:val="383838"/>
          <w:lang w:eastAsia="en-AU"/>
        </w:rPr>
        <w:t>When building in an area serviced by Water Corporation, approval is required prior to construction. Find out about </w:t>
      </w:r>
      <w:hyperlink r:id="rId13" w:tgtFrame="_blank" w:history="1">
        <w:r w:rsidRPr="00173C3F">
          <w:rPr>
            <w:rFonts w:eastAsia="Times New Roman" w:cstheme="minorHAnsi"/>
            <w:color w:val="000000"/>
            <w:u w:val="single"/>
            <w:lang w:eastAsia="en-AU"/>
          </w:rPr>
          <w:t>Lodging a building application with Water Corporation</w:t>
        </w:r>
      </w:hyperlink>
      <w:r w:rsidRPr="00173C3F">
        <w:rPr>
          <w:rFonts w:eastAsia="Times New Roman" w:cstheme="minorHAnsi"/>
          <w:color w:val="383838"/>
          <w:lang w:eastAsia="en-AU"/>
        </w:rPr>
        <w:t>.</w:t>
      </w:r>
    </w:p>
    <w:p w14:paraId="336D16FA"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BCITF levy form or payment receipt</w:t>
      </w:r>
    </w:p>
    <w:p w14:paraId="7B1734F5" w14:textId="77777777" w:rsidR="00173C3F" w:rsidRPr="00173C3F" w:rsidRDefault="00173C3F" w:rsidP="00173C3F">
      <w:pPr>
        <w:spacing w:beforeAutospacing="1" w:after="0" w:afterAutospacing="1" w:line="240" w:lineRule="auto"/>
        <w:rPr>
          <w:rFonts w:eastAsia="Times New Roman" w:cstheme="minorHAnsi"/>
          <w:color w:val="383838"/>
          <w:lang w:eastAsia="en-AU"/>
        </w:rPr>
      </w:pPr>
      <w:r w:rsidRPr="00173C3F">
        <w:rPr>
          <w:rFonts w:eastAsia="Times New Roman" w:cstheme="minorHAnsi"/>
          <w:color w:val="383838"/>
          <w:lang w:eastAsia="en-AU"/>
        </w:rPr>
        <w:t>BCITF = 0.20% of Estimated Construction Value (EVC) - applicable if ECV including GST exceeds $20,000. </w:t>
      </w:r>
      <w:hyperlink r:id="rId14" w:tgtFrame="_blank" w:history="1">
        <w:r w:rsidRPr="00173C3F">
          <w:rPr>
            <w:rFonts w:eastAsia="Times New Roman" w:cstheme="minorHAnsi"/>
            <w:color w:val="000000"/>
            <w:u w:val="single"/>
            <w:lang w:eastAsia="en-AU"/>
          </w:rPr>
          <w:t>Find out more about the BCITF levy</w:t>
        </w:r>
      </w:hyperlink>
      <w:r w:rsidRPr="00173C3F">
        <w:rPr>
          <w:rFonts w:eastAsia="Times New Roman" w:cstheme="minorHAnsi"/>
          <w:color w:val="383838"/>
          <w:lang w:eastAsia="en-AU"/>
        </w:rPr>
        <w:t>.</w:t>
      </w:r>
    </w:p>
    <w:p w14:paraId="4457876D" w14:textId="77777777" w:rsidR="00173C3F" w:rsidRPr="00173C3F" w:rsidRDefault="00173C3F" w:rsidP="00173C3F">
      <w:pPr>
        <w:spacing w:after="100" w:afterAutospacing="1" w:line="288" w:lineRule="atLeast"/>
        <w:outlineLvl w:val="1"/>
        <w:rPr>
          <w:rFonts w:eastAsia="Times New Roman" w:cstheme="minorHAnsi"/>
          <w:color w:val="172C44"/>
          <w:sz w:val="44"/>
          <w:szCs w:val="44"/>
          <w:lang w:eastAsia="en-AU"/>
        </w:rPr>
      </w:pPr>
      <w:r w:rsidRPr="00173C3F">
        <w:rPr>
          <w:rFonts w:eastAsia="Times New Roman" w:cstheme="minorHAnsi"/>
          <w:color w:val="172C44"/>
          <w:sz w:val="44"/>
          <w:szCs w:val="44"/>
          <w:lang w:eastAsia="en-AU"/>
        </w:rPr>
        <w:t>Additional information required if applicable</w:t>
      </w:r>
    </w:p>
    <w:p w14:paraId="6CF33424"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Developer’s approval</w:t>
      </w:r>
    </w:p>
    <w:p w14:paraId="49243739"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t xml:space="preserve">Only applicable if in Kingston or </w:t>
      </w:r>
      <w:proofErr w:type="spellStart"/>
      <w:r w:rsidRPr="00173C3F">
        <w:rPr>
          <w:rFonts w:eastAsia="Times New Roman" w:cstheme="minorHAnsi"/>
          <w:color w:val="383838"/>
          <w:lang w:eastAsia="en-AU"/>
        </w:rPr>
        <w:t>Treendale</w:t>
      </w:r>
      <w:proofErr w:type="spellEnd"/>
      <w:r w:rsidRPr="00173C3F">
        <w:rPr>
          <w:rFonts w:eastAsia="Times New Roman" w:cstheme="minorHAnsi"/>
          <w:color w:val="383838"/>
          <w:lang w:eastAsia="en-AU"/>
        </w:rPr>
        <w:t xml:space="preserve"> Estate</w:t>
      </w:r>
    </w:p>
    <w:p w14:paraId="0D676026"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Heritage notification proof</w:t>
      </w:r>
    </w:p>
    <w:p w14:paraId="51E04E7F" w14:textId="77777777" w:rsidR="00173C3F" w:rsidRPr="00173C3F" w:rsidRDefault="00173C3F" w:rsidP="00173C3F">
      <w:pPr>
        <w:spacing w:beforeAutospacing="1" w:after="0" w:afterAutospacing="1" w:line="240" w:lineRule="auto"/>
        <w:rPr>
          <w:rFonts w:eastAsia="Times New Roman" w:cstheme="minorHAnsi"/>
          <w:color w:val="383838"/>
          <w:lang w:eastAsia="en-AU"/>
        </w:rPr>
      </w:pPr>
      <w:r w:rsidRPr="00173C3F">
        <w:rPr>
          <w:rFonts w:eastAsia="Times New Roman" w:cstheme="minorHAnsi"/>
          <w:color w:val="383838"/>
          <w:lang w:eastAsia="en-AU"/>
        </w:rPr>
        <w:lastRenderedPageBreak/>
        <w:t>if applicable as per </w:t>
      </w:r>
      <w:hyperlink r:id="rId15" w:tgtFrame="_blank" w:history="1">
        <w:r w:rsidRPr="00173C3F">
          <w:rPr>
            <w:rFonts w:eastAsia="Times New Roman" w:cstheme="minorHAnsi"/>
            <w:color w:val="000000"/>
            <w:u w:val="single"/>
            <w:lang w:eastAsia="en-AU"/>
          </w:rPr>
          <w:t>Heritage Council of WA</w:t>
        </w:r>
      </w:hyperlink>
      <w:r w:rsidRPr="00173C3F">
        <w:rPr>
          <w:rFonts w:eastAsia="Times New Roman" w:cstheme="minorHAnsi"/>
          <w:color w:val="383838"/>
          <w:lang w:eastAsia="en-AU"/>
        </w:rPr>
        <w:t>.</w:t>
      </w:r>
    </w:p>
    <w:p w14:paraId="25303CEC"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Bushfire Attack Level (BAL) Report</w:t>
      </w:r>
    </w:p>
    <w:p w14:paraId="469DFAF5" w14:textId="77777777" w:rsidR="00173C3F" w:rsidRPr="00173C3F" w:rsidRDefault="00173C3F" w:rsidP="00173C3F">
      <w:pPr>
        <w:spacing w:beforeAutospacing="1" w:after="0" w:afterAutospacing="1" w:line="240" w:lineRule="auto"/>
        <w:rPr>
          <w:rFonts w:eastAsia="Times New Roman" w:cstheme="minorHAnsi"/>
          <w:color w:val="383838"/>
          <w:lang w:eastAsia="en-AU"/>
        </w:rPr>
      </w:pPr>
      <w:r w:rsidRPr="00173C3F">
        <w:rPr>
          <w:rFonts w:eastAsia="Times New Roman" w:cstheme="minorHAnsi"/>
          <w:color w:val="383838"/>
          <w:lang w:eastAsia="en-AU"/>
        </w:rPr>
        <w:t>Required if building in a </w:t>
      </w:r>
      <w:hyperlink r:id="rId16" w:tgtFrame="_blank" w:history="1">
        <w:r w:rsidRPr="00173C3F">
          <w:rPr>
            <w:rFonts w:eastAsia="Times New Roman" w:cstheme="minorHAnsi"/>
            <w:color w:val="000000"/>
            <w:u w:val="single"/>
            <w:lang w:eastAsia="en-AU"/>
          </w:rPr>
          <w:t>Bushfire prone Area</w:t>
        </w:r>
      </w:hyperlink>
      <w:r w:rsidRPr="00173C3F">
        <w:rPr>
          <w:rFonts w:eastAsia="Times New Roman" w:cstheme="minorHAnsi"/>
          <w:color w:val="383838"/>
          <w:lang w:eastAsia="en-AU"/>
        </w:rPr>
        <w:t>. Include </w:t>
      </w:r>
      <w:r w:rsidRPr="00173C3F">
        <w:rPr>
          <w:rFonts w:eastAsia="Times New Roman" w:cstheme="minorHAnsi"/>
          <w:b/>
          <w:bCs/>
          <w:color w:val="383838"/>
          <w:lang w:eastAsia="en-AU"/>
        </w:rPr>
        <w:t>​</w:t>
      </w:r>
      <w:r w:rsidRPr="00173C3F">
        <w:rPr>
          <w:rFonts w:eastAsia="Times New Roman" w:cstheme="minorHAnsi"/>
          <w:color w:val="383838"/>
          <w:lang w:eastAsia="en-AU"/>
        </w:rPr>
        <w:t>relevant construction method details.</w:t>
      </w:r>
    </w:p>
    <w:p w14:paraId="35B15EF3"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BA20 Form – Work affecting other land</w:t>
      </w:r>
    </w:p>
    <w:p w14:paraId="709450DD"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t xml:space="preserve">Required if the proposed works show encroachment on adjoining </w:t>
      </w:r>
      <w:proofErr w:type="gramStart"/>
      <w:r w:rsidRPr="00173C3F">
        <w:rPr>
          <w:rFonts w:eastAsia="Times New Roman" w:cstheme="minorHAnsi"/>
          <w:color w:val="383838"/>
          <w:lang w:eastAsia="en-AU"/>
        </w:rPr>
        <w:t>land, or</w:t>
      </w:r>
      <w:proofErr w:type="gramEnd"/>
      <w:r w:rsidRPr="00173C3F">
        <w:rPr>
          <w:rFonts w:eastAsia="Times New Roman" w:cstheme="minorHAnsi"/>
          <w:color w:val="383838"/>
          <w:lang w:eastAsia="en-AU"/>
        </w:rPr>
        <w:t xml:space="preserve"> works that will adversely affect an adjoining property. Neighbours’ consent is required prior to issue of the Building Permit. </w:t>
      </w:r>
    </w:p>
    <w:p w14:paraId="04EF1E28" w14:textId="77777777" w:rsidR="00173C3F" w:rsidRPr="00173C3F" w:rsidRDefault="00173C3F" w:rsidP="00173C3F">
      <w:pPr>
        <w:spacing w:beforeAutospacing="1" w:after="0" w:afterAutospacing="1" w:line="240" w:lineRule="auto"/>
        <w:rPr>
          <w:rFonts w:eastAsia="Times New Roman" w:cstheme="minorHAnsi"/>
          <w:color w:val="383838"/>
          <w:lang w:eastAsia="en-AU"/>
        </w:rPr>
      </w:pPr>
      <w:hyperlink r:id="rId17" w:tgtFrame="_blank" w:history="1">
        <w:r w:rsidRPr="00173C3F">
          <w:rPr>
            <w:rFonts w:eastAsia="Times New Roman" w:cstheme="minorHAnsi"/>
            <w:color w:val="000000"/>
            <w:u w:val="single"/>
            <w:lang w:eastAsia="en-AU"/>
          </w:rPr>
          <w:t>Access BA20 form: Notice and request for consent to encroach or adversely affect</w:t>
        </w:r>
      </w:hyperlink>
      <w:r w:rsidRPr="00173C3F">
        <w:rPr>
          <w:rFonts w:eastAsia="Times New Roman" w:cstheme="minorHAnsi"/>
          <w:color w:val="383838"/>
          <w:lang w:eastAsia="en-AU"/>
        </w:rPr>
        <w:t> (available on the Department of Mines, Industry Regulation and Safety website).</w:t>
      </w:r>
    </w:p>
    <w:p w14:paraId="64649F59"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BA20A Form – Work affecting other land – access only</w:t>
      </w:r>
    </w:p>
    <w:p w14:paraId="034209BA"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t>Required if the proposed works involve removing a fence/working on boundary requiring access to neighbour’s land etc. the Builder/Owner is to obtain neighbours consent prior to works commencing. </w:t>
      </w:r>
    </w:p>
    <w:p w14:paraId="177BE9BB" w14:textId="77777777" w:rsidR="00173C3F" w:rsidRPr="00173C3F" w:rsidRDefault="00173C3F" w:rsidP="00173C3F">
      <w:pPr>
        <w:spacing w:beforeAutospacing="1" w:after="0" w:afterAutospacing="1" w:line="240" w:lineRule="auto"/>
        <w:rPr>
          <w:rFonts w:eastAsia="Times New Roman" w:cstheme="minorHAnsi"/>
          <w:color w:val="383838"/>
          <w:lang w:eastAsia="en-AU"/>
        </w:rPr>
      </w:pPr>
      <w:hyperlink r:id="rId18" w:tgtFrame="_blank" w:history="1">
        <w:r w:rsidRPr="00173C3F">
          <w:rPr>
            <w:rFonts w:eastAsia="Times New Roman" w:cstheme="minorHAnsi"/>
            <w:color w:val="000000"/>
            <w:u w:val="single"/>
            <w:lang w:eastAsia="en-AU"/>
          </w:rPr>
          <w:t>Access BA20A form – Notice and request for consent (response notice): Protection structures, party walls, removal of fences, access to land</w:t>
        </w:r>
      </w:hyperlink>
      <w:r w:rsidRPr="00173C3F">
        <w:rPr>
          <w:rFonts w:eastAsia="Times New Roman" w:cstheme="minorHAnsi"/>
          <w:color w:val="383838"/>
          <w:lang w:eastAsia="en-AU"/>
        </w:rPr>
        <w:t> (available on the Department of Mines, Industry Regulation and Safety website).</w:t>
      </w:r>
    </w:p>
    <w:p w14:paraId="07C27784"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Planning approval</w:t>
      </w:r>
    </w:p>
    <w:p w14:paraId="4A6FBF7F" w14:textId="77777777" w:rsidR="00173C3F" w:rsidRPr="00173C3F" w:rsidRDefault="00173C3F" w:rsidP="00173C3F">
      <w:pPr>
        <w:spacing w:before="100" w:beforeAutospacing="1" w:after="100" w:afterAutospacing="1" w:line="240" w:lineRule="auto"/>
        <w:rPr>
          <w:rFonts w:eastAsia="Times New Roman" w:cstheme="minorHAnsi"/>
          <w:color w:val="383838"/>
          <w:lang w:eastAsia="en-AU"/>
        </w:rPr>
      </w:pPr>
      <w:r w:rsidRPr="00173C3F">
        <w:rPr>
          <w:rFonts w:eastAsia="Times New Roman" w:cstheme="minorHAnsi"/>
          <w:color w:val="383838"/>
          <w:lang w:eastAsia="en-AU"/>
        </w:rPr>
        <w:t>Also referred to as a DA or development application, planning approval is required for grouped dwellings (in excess of three), codes variations (reduced boundary setbacks or over size etc), and/or if the District Planning Scheme (DPS) requires, such as buildings in a landscape protection area etc.</w:t>
      </w:r>
    </w:p>
    <w:p w14:paraId="3C123BFC" w14:textId="77777777" w:rsidR="00173C3F" w:rsidRPr="00173C3F" w:rsidRDefault="00173C3F" w:rsidP="00173C3F">
      <w:pPr>
        <w:spacing w:beforeAutospacing="1" w:after="0" w:afterAutospacing="1" w:line="240" w:lineRule="auto"/>
        <w:rPr>
          <w:rFonts w:eastAsia="Times New Roman" w:cstheme="minorHAnsi"/>
          <w:color w:val="383838"/>
          <w:lang w:eastAsia="en-AU"/>
        </w:rPr>
      </w:pPr>
      <w:r w:rsidRPr="00173C3F">
        <w:rPr>
          <w:rFonts w:eastAsia="Times New Roman" w:cstheme="minorHAnsi"/>
          <w:color w:val="383838"/>
          <w:lang w:eastAsia="en-AU"/>
        </w:rPr>
        <w:t>For more information refer to the </w:t>
      </w:r>
      <w:hyperlink r:id="rId19" w:tgtFrame="_blank" w:history="1">
        <w:r w:rsidRPr="00173C3F">
          <w:rPr>
            <w:rFonts w:eastAsia="Times New Roman" w:cstheme="minorHAnsi"/>
            <w:color w:val="000000"/>
            <w:u w:val="single"/>
            <w:lang w:eastAsia="en-AU"/>
          </w:rPr>
          <w:t>R Codes - State Planning Policy</w:t>
        </w:r>
      </w:hyperlink>
      <w:r w:rsidRPr="00173C3F">
        <w:rPr>
          <w:rFonts w:eastAsia="Times New Roman" w:cstheme="minorHAnsi"/>
          <w:color w:val="383838"/>
          <w:lang w:eastAsia="en-AU"/>
        </w:rPr>
        <w:t> and the Shire of Harvey’s Outbuildings Policy (see below).</w:t>
      </w:r>
    </w:p>
    <w:p w14:paraId="22940C03" w14:textId="77777777" w:rsidR="00173C3F" w:rsidRPr="00173C3F" w:rsidRDefault="00173C3F" w:rsidP="00173C3F">
      <w:pPr>
        <w:spacing w:after="0" w:afterAutospacing="1" w:line="288" w:lineRule="atLeast"/>
        <w:outlineLvl w:val="2"/>
        <w:rPr>
          <w:rFonts w:eastAsia="Times New Roman" w:cstheme="minorHAnsi"/>
          <w:color w:val="172C44"/>
          <w:sz w:val="24"/>
          <w:szCs w:val="24"/>
          <w:lang w:eastAsia="en-AU"/>
        </w:rPr>
      </w:pPr>
      <w:r w:rsidRPr="00173C3F">
        <w:rPr>
          <w:rFonts w:eastAsia="Times New Roman" w:cstheme="minorHAnsi"/>
          <w:b/>
          <w:bCs/>
          <w:color w:val="172C44"/>
          <w:sz w:val="24"/>
          <w:szCs w:val="24"/>
          <w:lang w:eastAsia="en-AU"/>
        </w:rPr>
        <w:t>Septic application</w:t>
      </w:r>
    </w:p>
    <w:p w14:paraId="249DA449" w14:textId="77777777" w:rsidR="00173C3F" w:rsidRPr="00173C3F" w:rsidRDefault="00173C3F" w:rsidP="00173C3F">
      <w:pPr>
        <w:spacing w:before="100" w:beforeAutospacing="1" w:after="0" w:line="240" w:lineRule="auto"/>
        <w:rPr>
          <w:rFonts w:eastAsia="Times New Roman" w:cstheme="minorHAnsi"/>
          <w:color w:val="383838"/>
          <w:lang w:eastAsia="en-AU"/>
        </w:rPr>
      </w:pPr>
      <w:r w:rsidRPr="00173C3F">
        <w:rPr>
          <w:rFonts w:eastAsia="Times New Roman" w:cstheme="minorHAnsi"/>
          <w:color w:val="383838"/>
          <w:lang w:eastAsia="en-AU"/>
        </w:rPr>
        <w:t>If applicable, complete the application form below and submit with payment to the Shire.</w:t>
      </w:r>
    </w:p>
    <w:p w14:paraId="64F2CEA1" w14:textId="77777777" w:rsidR="00437945" w:rsidRPr="00173C3F" w:rsidRDefault="00437945">
      <w:pPr>
        <w:rPr>
          <w:rFonts w:cstheme="minorHAnsi"/>
          <w:sz w:val="20"/>
          <w:szCs w:val="20"/>
        </w:rPr>
      </w:pPr>
    </w:p>
    <w:sectPr w:rsidR="00437945" w:rsidRPr="00173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1EC"/>
    <w:multiLevelType w:val="multilevel"/>
    <w:tmpl w:val="C6CA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7D10F6"/>
    <w:multiLevelType w:val="multilevel"/>
    <w:tmpl w:val="A6F6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2615268">
    <w:abstractNumId w:val="0"/>
  </w:num>
  <w:num w:numId="2" w16cid:durableId="1459448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3F"/>
    <w:rsid w:val="00173C3F"/>
    <w:rsid w:val="00437945"/>
    <w:rsid w:val="00A4496C"/>
    <w:rsid w:val="00C57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DDC1B7B"/>
  <w15:chartTrackingRefBased/>
  <w15:docId w15:val="{773083AF-0BC9-42C8-86ED-9EBC6268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3C3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73C3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C3F"/>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73C3F"/>
    <w:rPr>
      <w:rFonts w:ascii="Times New Roman" w:eastAsia="Times New Roman" w:hAnsi="Times New Roman" w:cs="Times New Roman"/>
      <w:b/>
      <w:bCs/>
      <w:sz w:val="27"/>
      <w:szCs w:val="27"/>
      <w:lang w:eastAsia="en-AU"/>
    </w:rPr>
  </w:style>
  <w:style w:type="character" w:styleId="Emphasis">
    <w:name w:val="Emphasis"/>
    <w:basedOn w:val="DefaultParagraphFont"/>
    <w:uiPriority w:val="20"/>
    <w:qFormat/>
    <w:rsid w:val="00173C3F"/>
    <w:rPr>
      <w:i/>
      <w:iCs/>
    </w:rPr>
  </w:style>
  <w:style w:type="paragraph" w:styleId="NormalWeb">
    <w:name w:val="Normal (Web)"/>
    <w:basedOn w:val="Normal"/>
    <w:uiPriority w:val="99"/>
    <w:semiHidden/>
    <w:unhideWhenUsed/>
    <w:rsid w:val="00173C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73C3F"/>
    <w:rPr>
      <w:b/>
      <w:bCs/>
    </w:rPr>
  </w:style>
  <w:style w:type="character" w:styleId="Hyperlink">
    <w:name w:val="Hyperlink"/>
    <w:basedOn w:val="DefaultParagraphFont"/>
    <w:uiPriority w:val="99"/>
    <w:unhideWhenUsed/>
    <w:rsid w:val="00173C3F"/>
    <w:rPr>
      <w:color w:val="0000FF"/>
      <w:u w:val="single"/>
    </w:rPr>
  </w:style>
  <w:style w:type="character" w:styleId="UnresolvedMention">
    <w:name w:val="Unresolved Mention"/>
    <w:basedOn w:val="DefaultParagraphFont"/>
    <w:uiPriority w:val="99"/>
    <w:semiHidden/>
    <w:unhideWhenUsed/>
    <w:rsid w:val="00C572F4"/>
    <w:rPr>
      <w:color w:val="605E5C"/>
      <w:shd w:val="clear" w:color="auto" w:fill="E1DFDD"/>
    </w:rPr>
  </w:style>
  <w:style w:type="paragraph" w:styleId="Title">
    <w:name w:val="Title"/>
    <w:basedOn w:val="Normal"/>
    <w:link w:val="TitleChar"/>
    <w:uiPriority w:val="10"/>
    <w:qFormat/>
    <w:rsid w:val="00C572F4"/>
    <w:pPr>
      <w:widowControl w:val="0"/>
      <w:autoSpaceDE w:val="0"/>
      <w:autoSpaceDN w:val="0"/>
      <w:spacing w:before="153" w:after="0" w:line="240" w:lineRule="auto"/>
      <w:ind w:left="3857"/>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uiPriority w:val="10"/>
    <w:rsid w:val="00C572F4"/>
    <w:rPr>
      <w:rFonts w:ascii="Times New Roman" w:eastAsia="Times New Roman" w:hAnsi="Times New Roman" w:cs="Times New Roman"/>
      <w:b/>
      <w:bCs/>
      <w:sz w:val="56"/>
      <w:szCs w:val="56"/>
      <w:lang w:val="en-US"/>
    </w:rPr>
  </w:style>
  <w:style w:type="paragraph" w:styleId="BodyText">
    <w:name w:val="Body Text"/>
    <w:basedOn w:val="Normal"/>
    <w:link w:val="BodyTextChar"/>
    <w:uiPriority w:val="1"/>
    <w:semiHidden/>
    <w:unhideWhenUsed/>
    <w:qFormat/>
    <w:rsid w:val="00C572F4"/>
    <w:pPr>
      <w:widowControl w:val="0"/>
      <w:autoSpaceDE w:val="0"/>
      <w:autoSpaceDN w:val="0"/>
      <w:spacing w:before="25" w:after="0" w:line="240" w:lineRule="auto"/>
      <w:jc w:val="right"/>
    </w:pPr>
    <w:rPr>
      <w:rFonts w:ascii="Arial" w:eastAsia="Arial" w:hAnsi="Arial" w:cs="Arial"/>
      <w:sz w:val="16"/>
      <w:szCs w:val="16"/>
      <w:lang w:val="en-US"/>
    </w:rPr>
  </w:style>
  <w:style w:type="character" w:customStyle="1" w:styleId="BodyTextChar">
    <w:name w:val="Body Text Char"/>
    <w:basedOn w:val="DefaultParagraphFont"/>
    <w:link w:val="BodyText"/>
    <w:uiPriority w:val="1"/>
    <w:semiHidden/>
    <w:rsid w:val="00C572F4"/>
    <w:rPr>
      <w:rFonts w:ascii="Arial" w:eastAsia="Arial"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erce.wa.gov.au/building-commission/building-approval-forms-0" TargetMode="External"/><Relationship Id="rId13" Type="http://schemas.openxmlformats.org/officeDocument/2006/relationships/hyperlink" Target="https://www.watercorporation.com.au/Developing-and-building/Building/Lodging-a-building-application" TargetMode="External"/><Relationship Id="rId18" Type="http://schemas.openxmlformats.org/officeDocument/2006/relationships/hyperlink" Target="https://www.commerce.wa.gov.au/publications/ba20a-notice-and-request-consent-response-notice-protection-structures-party-wall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ukinbudin.wa.gov.au/" TargetMode="External"/><Relationship Id="rId12" Type="http://schemas.openxmlformats.org/officeDocument/2006/relationships/hyperlink" Target="https://www.commerce.wa.gov.au/building-and-energy/energy-efficiency-residential-buildings" TargetMode="External"/><Relationship Id="rId17" Type="http://schemas.openxmlformats.org/officeDocument/2006/relationships/hyperlink" Target="https://www.commerce.wa.gov.au/publications/ba20-notice-and-request-consent-encroach-or-adversely-affect" TargetMode="External"/><Relationship Id="rId2" Type="http://schemas.openxmlformats.org/officeDocument/2006/relationships/styles" Target="styles.xml"/><Relationship Id="rId16" Type="http://schemas.openxmlformats.org/officeDocument/2006/relationships/hyperlink" Target="https://maps.slip.wa.gov.au/landgate/bushfirepron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dmin@mukinbudin.wa.gov.au" TargetMode="External"/><Relationship Id="rId11" Type="http://schemas.openxmlformats.org/officeDocument/2006/relationships/hyperlink" Target="https://www.commerce.wa.gov.au/building-and-energy/building-designated-bush-fire-prone-areas" TargetMode="External"/><Relationship Id="rId5" Type="http://schemas.openxmlformats.org/officeDocument/2006/relationships/image" Target="media/image1.jpeg"/><Relationship Id="rId15" Type="http://schemas.openxmlformats.org/officeDocument/2006/relationships/hyperlink" Target="http://www.stateheritage.wa.gov.au/" TargetMode="External"/><Relationship Id="rId10" Type="http://schemas.openxmlformats.org/officeDocument/2006/relationships/hyperlink" Target="https://www.commerce.wa.gov.au/building-and-energy/owner-builder-application" TargetMode="External"/><Relationship Id="rId19" Type="http://schemas.openxmlformats.org/officeDocument/2006/relationships/hyperlink" Target="https://www.dplh.wa.gov.au/rcodes" TargetMode="External"/><Relationship Id="rId4" Type="http://schemas.openxmlformats.org/officeDocument/2006/relationships/webSettings" Target="webSettings.xml"/><Relationship Id="rId9" Type="http://schemas.openxmlformats.org/officeDocument/2006/relationships/hyperlink" Target="https://www.commerce.wa.gov.au/publications/home-indemnity-insurance" TargetMode="External"/><Relationship Id="rId14" Type="http://schemas.openxmlformats.org/officeDocument/2006/relationships/hyperlink" Target="https://ctf.wa.gov.au/industry/bcitf-le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5415</Characters>
  <Application>Microsoft Office Word</Application>
  <DocSecurity>0</DocSecurity>
  <Lines>125</Lines>
  <Paragraphs>83</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Herrington</dc:creator>
  <cp:keywords/>
  <dc:description/>
  <cp:lastModifiedBy>Helen Croke</cp:lastModifiedBy>
  <cp:revision>2</cp:revision>
  <dcterms:created xsi:type="dcterms:W3CDTF">2025-09-24T03:29:00Z</dcterms:created>
  <dcterms:modified xsi:type="dcterms:W3CDTF">2025-09-24T03:29:00Z</dcterms:modified>
</cp:coreProperties>
</file>