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D92E" w14:textId="77777777" w:rsidR="0015766B" w:rsidRPr="0015766B" w:rsidRDefault="0015766B" w:rsidP="0015766B">
      <w:pPr>
        <w:spacing w:after="100" w:afterAutospacing="1" w:line="288" w:lineRule="atLeast"/>
        <w:outlineLvl w:val="1"/>
        <w:rPr>
          <w:rFonts w:eastAsia="Times New Roman" w:cstheme="minorHAnsi"/>
          <w:color w:val="172C44"/>
          <w:sz w:val="24"/>
          <w:szCs w:val="24"/>
          <w:lang w:eastAsia="en-AU"/>
        </w:rPr>
      </w:pPr>
      <w:r w:rsidRPr="0015766B">
        <w:rPr>
          <w:rFonts w:eastAsia="Times New Roman" w:cstheme="minorHAnsi"/>
          <w:color w:val="172C44"/>
          <w:sz w:val="24"/>
          <w:szCs w:val="24"/>
          <w:lang w:eastAsia="en-AU"/>
        </w:rPr>
        <w:t>Important notes</w:t>
      </w:r>
    </w:p>
    <w:p w14:paraId="196FB93E" w14:textId="77777777" w:rsidR="0015766B" w:rsidRPr="0015766B" w:rsidRDefault="0015766B" w:rsidP="0015766B">
      <w:pPr>
        <w:numPr>
          <w:ilvl w:val="0"/>
          <w:numId w:val="1"/>
        </w:numPr>
        <w:spacing w:after="75"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 xml:space="preserve">Applications submitted without all of the applicable items listed below, will not be </w:t>
      </w:r>
      <w:proofErr w:type="gramStart"/>
      <w:r w:rsidRPr="0015766B">
        <w:rPr>
          <w:rFonts w:eastAsia="Times New Roman" w:cstheme="minorHAnsi"/>
          <w:color w:val="383838"/>
          <w:sz w:val="24"/>
          <w:szCs w:val="24"/>
          <w:lang w:eastAsia="en-AU"/>
        </w:rPr>
        <w:t>accepted</w:t>
      </w:r>
      <w:proofErr w:type="gramEnd"/>
      <w:r w:rsidRPr="0015766B">
        <w:rPr>
          <w:rFonts w:eastAsia="Times New Roman" w:cstheme="minorHAnsi"/>
          <w:color w:val="383838"/>
          <w:sz w:val="24"/>
          <w:szCs w:val="24"/>
          <w:lang w:eastAsia="en-AU"/>
        </w:rPr>
        <w:t xml:space="preserve"> and will be returned.</w:t>
      </w:r>
    </w:p>
    <w:p w14:paraId="6E22473A" w14:textId="77777777" w:rsidR="0015766B" w:rsidRPr="0015766B" w:rsidRDefault="0015766B" w:rsidP="0015766B">
      <w:pPr>
        <w:numPr>
          <w:ilvl w:val="0"/>
          <w:numId w:val="1"/>
        </w:numPr>
        <w:spacing w:beforeAutospacing="1" w:after="0"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The </w:t>
      </w:r>
      <w:r w:rsidRPr="0015766B">
        <w:rPr>
          <w:rFonts w:eastAsia="Times New Roman" w:cstheme="minorHAnsi"/>
          <w:i/>
          <w:iCs/>
          <w:color w:val="383838"/>
          <w:sz w:val="24"/>
          <w:szCs w:val="24"/>
          <w:lang w:eastAsia="en-AU"/>
        </w:rPr>
        <w:t>Building Act 2011</w:t>
      </w:r>
      <w:r w:rsidRPr="0015766B">
        <w:rPr>
          <w:rFonts w:eastAsia="Times New Roman" w:cstheme="minorHAnsi"/>
          <w:color w:val="383838"/>
          <w:sz w:val="24"/>
          <w:szCs w:val="24"/>
          <w:lang w:eastAsia="en-AU"/>
        </w:rPr>
        <w:t> requires that all applicable approvals, including planning approval, are obtained prior to lodgement of a building permit application.</w:t>
      </w:r>
    </w:p>
    <w:p w14:paraId="341375C1" w14:textId="77777777" w:rsidR="0015766B" w:rsidRPr="0015766B" w:rsidRDefault="0015766B" w:rsidP="0015766B">
      <w:pPr>
        <w:numPr>
          <w:ilvl w:val="0"/>
          <w:numId w:val="1"/>
        </w:numPr>
        <w:spacing w:before="100" w:beforeAutospacing="1" w:after="0"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This list is not a complete list of all requirements but is a general guide of the minimum information required.</w:t>
      </w:r>
    </w:p>
    <w:p w14:paraId="6999465A" w14:textId="77777777" w:rsidR="0015766B" w:rsidRPr="0015766B" w:rsidRDefault="0015766B" w:rsidP="0015766B">
      <w:pPr>
        <w:spacing w:after="100" w:afterAutospacing="1" w:line="288" w:lineRule="atLeast"/>
        <w:outlineLvl w:val="1"/>
        <w:rPr>
          <w:rFonts w:eastAsia="Times New Roman" w:cstheme="minorHAnsi"/>
          <w:color w:val="172C44"/>
          <w:sz w:val="24"/>
          <w:szCs w:val="24"/>
          <w:lang w:eastAsia="en-AU"/>
        </w:rPr>
      </w:pPr>
      <w:r w:rsidRPr="0015766B">
        <w:rPr>
          <w:rFonts w:eastAsia="Times New Roman" w:cstheme="minorHAnsi"/>
          <w:color w:val="172C44"/>
          <w:sz w:val="24"/>
          <w:szCs w:val="24"/>
          <w:lang w:eastAsia="en-AU"/>
        </w:rPr>
        <w:t>Class definitions</w:t>
      </w:r>
    </w:p>
    <w:p w14:paraId="382CD159"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 xml:space="preserve">Class 2-9: The Department of Mines, Industry Regulation and Safety classifies buildings by the purpose for which they are designed, </w:t>
      </w:r>
      <w:proofErr w:type="gramStart"/>
      <w:r w:rsidRPr="0015766B">
        <w:rPr>
          <w:rFonts w:eastAsia="Times New Roman" w:cstheme="minorHAnsi"/>
          <w:color w:val="383838"/>
          <w:sz w:val="24"/>
          <w:szCs w:val="24"/>
          <w:lang w:eastAsia="en-AU"/>
        </w:rPr>
        <w:t>constructed</w:t>
      </w:r>
      <w:proofErr w:type="gramEnd"/>
      <w:r w:rsidRPr="0015766B">
        <w:rPr>
          <w:rFonts w:eastAsia="Times New Roman" w:cstheme="minorHAnsi"/>
          <w:color w:val="383838"/>
          <w:sz w:val="24"/>
          <w:szCs w:val="24"/>
          <w:lang w:eastAsia="en-AU"/>
        </w:rPr>
        <w:t xml:space="preserve"> or adapted to be used.  A building may attract a number of classes and be described as a mixed-use building. Find out about </w:t>
      </w:r>
      <w:hyperlink r:id="rId5" w:tgtFrame="_blank" w:history="1">
        <w:r w:rsidRPr="0015766B">
          <w:rPr>
            <w:rFonts w:eastAsia="Times New Roman" w:cstheme="minorHAnsi"/>
            <w:color w:val="000000"/>
            <w:sz w:val="24"/>
            <w:szCs w:val="24"/>
            <w:u w:val="single"/>
            <w:lang w:eastAsia="en-AU"/>
          </w:rPr>
          <w:t>building classes 2-9</w:t>
        </w:r>
      </w:hyperlink>
      <w:r w:rsidRPr="0015766B">
        <w:rPr>
          <w:rFonts w:eastAsia="Times New Roman" w:cstheme="minorHAnsi"/>
          <w:color w:val="383838"/>
          <w:sz w:val="24"/>
          <w:szCs w:val="24"/>
          <w:lang w:eastAsia="en-AU"/>
        </w:rPr>
        <w:t>.</w:t>
      </w:r>
    </w:p>
    <w:p w14:paraId="2A681754" w14:textId="77777777" w:rsidR="0015766B" w:rsidRPr="0015766B" w:rsidRDefault="0015766B" w:rsidP="0015766B">
      <w:pPr>
        <w:spacing w:after="100" w:afterAutospacing="1" w:line="288" w:lineRule="atLeast"/>
        <w:outlineLvl w:val="1"/>
        <w:rPr>
          <w:rFonts w:eastAsia="Times New Roman" w:cstheme="minorHAnsi"/>
          <w:color w:val="172C44"/>
          <w:sz w:val="24"/>
          <w:szCs w:val="24"/>
          <w:lang w:eastAsia="en-AU"/>
        </w:rPr>
      </w:pPr>
      <w:r w:rsidRPr="0015766B">
        <w:rPr>
          <w:rFonts w:eastAsia="Times New Roman" w:cstheme="minorHAnsi"/>
          <w:color w:val="172C44"/>
          <w:sz w:val="24"/>
          <w:szCs w:val="24"/>
          <w:lang w:eastAsia="en-AU"/>
        </w:rPr>
        <w:t>Information required (mandatory)</w:t>
      </w:r>
    </w:p>
    <w:p w14:paraId="7653BCBE"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Building approval forms</w:t>
      </w:r>
    </w:p>
    <w:p w14:paraId="057CACF4" w14:textId="77777777" w:rsidR="0015766B" w:rsidRPr="0015766B" w:rsidRDefault="0015766B" w:rsidP="0015766B">
      <w:pPr>
        <w:spacing w:before="100" w:beforeAutospacing="1" w:after="10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Form BA1 Certified Building Application and Form BA3 Certificate of Design Compliance (issued by a private Registered Building Surveyor Contractor).  </w:t>
      </w:r>
    </w:p>
    <w:p w14:paraId="1B03BDB9" w14:textId="77777777" w:rsidR="0015766B" w:rsidRPr="0015766B" w:rsidRDefault="0015766B" w:rsidP="0015766B">
      <w:pPr>
        <w:spacing w:before="100" w:beforeAutospacing="1" w:after="10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Note, all the plans and documents listed on the Certificate of Design Compliance must be submitted with the application.</w:t>
      </w:r>
    </w:p>
    <w:p w14:paraId="799214B5"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hyperlink r:id="rId6" w:tgtFrame="_blank" w:history="1">
        <w:r w:rsidRPr="0015766B">
          <w:rPr>
            <w:rFonts w:eastAsia="Times New Roman" w:cstheme="minorHAnsi"/>
            <w:color w:val="000000"/>
            <w:sz w:val="24"/>
            <w:szCs w:val="24"/>
            <w:u w:val="single"/>
            <w:lang w:eastAsia="en-AU"/>
          </w:rPr>
          <w:t>Access forms BA1 and BA3</w:t>
        </w:r>
      </w:hyperlink>
      <w:r w:rsidRPr="0015766B">
        <w:rPr>
          <w:rFonts w:eastAsia="Times New Roman" w:cstheme="minorHAnsi"/>
          <w:color w:val="383838"/>
          <w:sz w:val="24"/>
          <w:szCs w:val="24"/>
          <w:lang w:eastAsia="en-AU"/>
        </w:rPr>
        <w:t> (available on the Department of Mines, Industry Regulation and Safety website).</w:t>
      </w:r>
    </w:p>
    <w:p w14:paraId="74314DED"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Builder’s registration details or Owner Builder’s Licence</w:t>
      </w:r>
    </w:p>
    <w:p w14:paraId="228765C6" w14:textId="77777777" w:rsidR="0015766B" w:rsidRPr="0015766B" w:rsidRDefault="0015766B" w:rsidP="0015766B">
      <w:pPr>
        <w:spacing w:before="100" w:beforeAutospacing="1" w:after="10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Required if estimated construction value is over $20,000 in non-rural areas.</w:t>
      </w:r>
    </w:p>
    <w:p w14:paraId="3F582D54"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hyperlink r:id="rId7" w:tgtFrame="_blank" w:history="1">
        <w:r w:rsidRPr="0015766B">
          <w:rPr>
            <w:rFonts w:eastAsia="Times New Roman" w:cstheme="minorHAnsi"/>
            <w:color w:val="000000"/>
            <w:sz w:val="24"/>
            <w:szCs w:val="24"/>
            <w:u w:val="single"/>
            <w:lang w:eastAsia="en-AU"/>
          </w:rPr>
          <w:t>Access form 75 Owner Builder Application</w:t>
        </w:r>
      </w:hyperlink>
      <w:r w:rsidRPr="0015766B">
        <w:rPr>
          <w:rFonts w:eastAsia="Times New Roman" w:cstheme="minorHAnsi"/>
          <w:color w:val="383838"/>
          <w:sz w:val="24"/>
          <w:szCs w:val="24"/>
          <w:lang w:eastAsia="en-AU"/>
        </w:rPr>
        <w:t> (available on the Department of Mines, Industry Regulation and Safety website).</w:t>
      </w:r>
    </w:p>
    <w:p w14:paraId="34CFC589"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Drawings, site plan, specification, engineering details and relevant reports</w:t>
      </w:r>
    </w:p>
    <w:p w14:paraId="21D9E054" w14:textId="77777777" w:rsidR="0015766B" w:rsidRPr="0015766B" w:rsidRDefault="0015766B" w:rsidP="0015766B">
      <w:pPr>
        <w:spacing w:before="100" w:beforeAutospacing="1" w:after="10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Two detailed hard copies (not electronic) are required for:</w:t>
      </w:r>
    </w:p>
    <w:p w14:paraId="3E7FBBE6" w14:textId="77777777" w:rsidR="0015766B" w:rsidRPr="0015766B" w:rsidRDefault="0015766B" w:rsidP="0015766B">
      <w:pPr>
        <w:numPr>
          <w:ilvl w:val="0"/>
          <w:numId w:val="2"/>
        </w:numPr>
        <w:spacing w:after="75"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Scale Drawings; 1:200 Site Plan including levels = FFL and FGL, 1:20 Sectionals, 1:100 Elevations</w:t>
      </w:r>
    </w:p>
    <w:p w14:paraId="45584809" w14:textId="77777777" w:rsidR="0015766B" w:rsidRPr="0015766B" w:rsidRDefault="0015766B" w:rsidP="0015766B">
      <w:pPr>
        <w:numPr>
          <w:ilvl w:val="0"/>
          <w:numId w:val="2"/>
        </w:numPr>
        <w:spacing w:before="100" w:beforeAutospacing="1" w:after="75"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Specifications</w:t>
      </w:r>
    </w:p>
    <w:p w14:paraId="66D0672C" w14:textId="77777777" w:rsidR="0015766B" w:rsidRPr="0015766B" w:rsidRDefault="0015766B" w:rsidP="0015766B">
      <w:pPr>
        <w:numPr>
          <w:ilvl w:val="0"/>
          <w:numId w:val="2"/>
        </w:numPr>
        <w:spacing w:before="100" w:beforeAutospacing="1" w:after="75"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 xml:space="preserve">Engineered details (footing, slab, </w:t>
      </w:r>
      <w:proofErr w:type="gramStart"/>
      <w:r w:rsidRPr="0015766B">
        <w:rPr>
          <w:rFonts w:eastAsia="Times New Roman" w:cstheme="minorHAnsi"/>
          <w:color w:val="383838"/>
          <w:sz w:val="24"/>
          <w:szCs w:val="24"/>
          <w:lang w:eastAsia="en-AU"/>
        </w:rPr>
        <w:t>wall</w:t>
      </w:r>
      <w:proofErr w:type="gramEnd"/>
      <w:r w:rsidRPr="0015766B">
        <w:rPr>
          <w:rFonts w:eastAsia="Times New Roman" w:cstheme="minorHAnsi"/>
          <w:color w:val="383838"/>
          <w:sz w:val="24"/>
          <w:szCs w:val="24"/>
          <w:lang w:eastAsia="en-AU"/>
        </w:rPr>
        <w:t xml:space="preserve"> and roof)</w:t>
      </w:r>
    </w:p>
    <w:p w14:paraId="6412DE05" w14:textId="77777777" w:rsidR="0015766B" w:rsidRPr="0015766B" w:rsidRDefault="0015766B" w:rsidP="0015766B">
      <w:pPr>
        <w:numPr>
          <w:ilvl w:val="0"/>
          <w:numId w:val="2"/>
        </w:numPr>
        <w:spacing w:before="100" w:beforeAutospacing="1" w:after="75"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Site classification (soil type and wind classification).</w:t>
      </w:r>
    </w:p>
    <w:p w14:paraId="42DC5A41" w14:textId="77777777" w:rsidR="0015766B" w:rsidRPr="0015766B" w:rsidRDefault="0015766B" w:rsidP="0015766B">
      <w:pPr>
        <w:numPr>
          <w:ilvl w:val="0"/>
          <w:numId w:val="2"/>
        </w:numPr>
        <w:spacing w:beforeAutospacing="1" w:after="0"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t>Bushfire Attack Level (BAL) site assessment report – only if in </w:t>
      </w:r>
      <w:hyperlink r:id="rId8" w:tgtFrame="_blank" w:history="1">
        <w:r w:rsidRPr="0015766B">
          <w:rPr>
            <w:rFonts w:eastAsia="Times New Roman" w:cstheme="minorHAnsi"/>
            <w:color w:val="000000"/>
            <w:sz w:val="24"/>
            <w:szCs w:val="24"/>
            <w:u w:val="single"/>
            <w:lang w:eastAsia="en-AU"/>
          </w:rPr>
          <w:t>designated bushfire prone areas</w:t>
        </w:r>
      </w:hyperlink>
    </w:p>
    <w:p w14:paraId="1A7F53CC" w14:textId="77777777" w:rsidR="0015766B" w:rsidRPr="0015766B" w:rsidRDefault="0015766B" w:rsidP="0015766B">
      <w:pPr>
        <w:numPr>
          <w:ilvl w:val="0"/>
          <w:numId w:val="2"/>
        </w:numPr>
        <w:spacing w:beforeAutospacing="1" w:after="0" w:line="240" w:lineRule="auto"/>
        <w:ind w:left="1140" w:hanging="345"/>
        <w:rPr>
          <w:rFonts w:eastAsia="Times New Roman" w:cstheme="minorHAnsi"/>
          <w:color w:val="383838"/>
          <w:sz w:val="24"/>
          <w:szCs w:val="24"/>
          <w:lang w:eastAsia="en-AU"/>
        </w:rPr>
      </w:pPr>
      <w:r w:rsidRPr="0015766B">
        <w:rPr>
          <w:rFonts w:eastAsia="Times New Roman" w:cstheme="minorHAnsi"/>
          <w:color w:val="383838"/>
          <w:sz w:val="24"/>
          <w:szCs w:val="24"/>
          <w:lang w:eastAsia="en-AU"/>
        </w:rPr>
        <w:lastRenderedPageBreak/>
        <w:t>Energy Efficiency report (BCA compliant deemed to satisfy or alternative solutions provisions). For more information refer to </w:t>
      </w:r>
      <w:hyperlink r:id="rId9" w:tgtFrame="_blank" w:history="1">
        <w:r w:rsidRPr="0015766B">
          <w:rPr>
            <w:rFonts w:eastAsia="Times New Roman" w:cstheme="minorHAnsi"/>
            <w:color w:val="000000"/>
            <w:sz w:val="24"/>
            <w:szCs w:val="24"/>
            <w:u w:val="single"/>
            <w:lang w:eastAsia="en-AU"/>
          </w:rPr>
          <w:t>Energy Efficiency of Residential Buildings</w:t>
        </w:r>
      </w:hyperlink>
      <w:r w:rsidRPr="0015766B">
        <w:rPr>
          <w:rFonts w:eastAsia="Times New Roman" w:cstheme="minorHAnsi"/>
          <w:color w:val="383838"/>
          <w:sz w:val="24"/>
          <w:szCs w:val="24"/>
          <w:lang w:eastAsia="en-AU"/>
        </w:rPr>
        <w:t>.</w:t>
      </w:r>
    </w:p>
    <w:p w14:paraId="21BE66F8" w14:textId="77777777" w:rsidR="0015766B" w:rsidRPr="0015766B" w:rsidRDefault="0015766B" w:rsidP="0015766B">
      <w:pPr>
        <w:spacing w:before="100" w:beforeAutospacing="1" w:after="10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Note, storm water discharge from buildings must be diverted away from structures and contained on site within the lot boundaries. Soak wells may be required on some sites at the rate of 65m2 surface area to 1m3 capacities. Where connection to Council’s stormwater system is available approval for the connection is required to be obtained from Council’s Engineering Department prior to the issue of a building permit.</w:t>
      </w:r>
    </w:p>
    <w:p w14:paraId="2080F1DE"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Water Corporation approval</w:t>
      </w:r>
    </w:p>
    <w:p w14:paraId="0DCB86DA"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When building in an area serviced by Water Corporation, approval is required prior to construction. Find out about </w:t>
      </w:r>
      <w:hyperlink r:id="rId10" w:tgtFrame="_blank" w:history="1">
        <w:r w:rsidRPr="0015766B">
          <w:rPr>
            <w:rFonts w:eastAsia="Times New Roman" w:cstheme="minorHAnsi"/>
            <w:color w:val="000000"/>
            <w:sz w:val="24"/>
            <w:szCs w:val="24"/>
            <w:u w:val="single"/>
            <w:lang w:eastAsia="en-AU"/>
          </w:rPr>
          <w:t>Lodging a building application with Water Corporation</w:t>
        </w:r>
      </w:hyperlink>
      <w:r w:rsidRPr="0015766B">
        <w:rPr>
          <w:rFonts w:eastAsia="Times New Roman" w:cstheme="minorHAnsi"/>
          <w:color w:val="383838"/>
          <w:sz w:val="24"/>
          <w:szCs w:val="24"/>
          <w:lang w:eastAsia="en-AU"/>
        </w:rPr>
        <w:t>.</w:t>
      </w:r>
    </w:p>
    <w:p w14:paraId="54010B52"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BCITF levy form or payment receipt</w:t>
      </w:r>
    </w:p>
    <w:p w14:paraId="471C367C"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BCITF = 0.20% of Estimated Construction Value (EVC) - applicable if ECV including GST exceeds $20,000. </w:t>
      </w:r>
      <w:hyperlink r:id="rId11" w:tgtFrame="_blank" w:history="1">
        <w:r w:rsidRPr="0015766B">
          <w:rPr>
            <w:rFonts w:eastAsia="Times New Roman" w:cstheme="minorHAnsi"/>
            <w:color w:val="000000"/>
            <w:sz w:val="24"/>
            <w:szCs w:val="24"/>
            <w:u w:val="single"/>
            <w:lang w:eastAsia="en-AU"/>
          </w:rPr>
          <w:t>Find out more about the BCITF levy</w:t>
        </w:r>
      </w:hyperlink>
      <w:r w:rsidRPr="0015766B">
        <w:rPr>
          <w:rFonts w:eastAsia="Times New Roman" w:cstheme="minorHAnsi"/>
          <w:color w:val="383838"/>
          <w:sz w:val="24"/>
          <w:szCs w:val="24"/>
          <w:lang w:eastAsia="en-AU"/>
        </w:rPr>
        <w:t>.</w:t>
      </w:r>
    </w:p>
    <w:p w14:paraId="206309E4" w14:textId="77777777" w:rsidR="0015766B" w:rsidRPr="0015766B" w:rsidRDefault="0015766B" w:rsidP="0015766B">
      <w:pPr>
        <w:spacing w:after="100" w:afterAutospacing="1" w:line="288" w:lineRule="atLeast"/>
        <w:outlineLvl w:val="1"/>
        <w:rPr>
          <w:rFonts w:eastAsia="Times New Roman" w:cstheme="minorHAnsi"/>
          <w:color w:val="172C44"/>
          <w:sz w:val="24"/>
          <w:szCs w:val="24"/>
          <w:lang w:eastAsia="en-AU"/>
        </w:rPr>
      </w:pPr>
      <w:r w:rsidRPr="0015766B">
        <w:rPr>
          <w:rFonts w:eastAsia="Times New Roman" w:cstheme="minorHAnsi"/>
          <w:color w:val="172C44"/>
          <w:sz w:val="24"/>
          <w:szCs w:val="24"/>
          <w:lang w:eastAsia="en-AU"/>
        </w:rPr>
        <w:t xml:space="preserve">Additional information required if </w:t>
      </w:r>
      <w:proofErr w:type="gramStart"/>
      <w:r w:rsidRPr="0015766B">
        <w:rPr>
          <w:rFonts w:eastAsia="Times New Roman" w:cstheme="minorHAnsi"/>
          <w:color w:val="172C44"/>
          <w:sz w:val="24"/>
          <w:szCs w:val="24"/>
          <w:lang w:eastAsia="en-AU"/>
        </w:rPr>
        <w:t>applicable</w:t>
      </w:r>
      <w:proofErr w:type="gramEnd"/>
    </w:p>
    <w:p w14:paraId="127F3750"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Bushfire Attack Level (BAL) Report</w:t>
      </w:r>
    </w:p>
    <w:p w14:paraId="3579B67B"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Required if building in a </w:t>
      </w:r>
      <w:hyperlink r:id="rId12" w:tgtFrame="_blank" w:history="1">
        <w:r w:rsidRPr="0015766B">
          <w:rPr>
            <w:rFonts w:eastAsia="Times New Roman" w:cstheme="minorHAnsi"/>
            <w:color w:val="000000"/>
            <w:sz w:val="24"/>
            <w:szCs w:val="24"/>
            <w:u w:val="single"/>
            <w:lang w:eastAsia="en-AU"/>
          </w:rPr>
          <w:t>Bushfire prone Area</w:t>
        </w:r>
      </w:hyperlink>
      <w:r w:rsidRPr="0015766B">
        <w:rPr>
          <w:rFonts w:eastAsia="Times New Roman" w:cstheme="minorHAnsi"/>
          <w:color w:val="383838"/>
          <w:sz w:val="24"/>
          <w:szCs w:val="24"/>
          <w:lang w:eastAsia="en-AU"/>
        </w:rPr>
        <w:t>. Include relevant construction method details.</w:t>
      </w:r>
    </w:p>
    <w:p w14:paraId="195A4BED"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 xml:space="preserve">BA20 Form – Work affecting other </w:t>
      </w:r>
      <w:proofErr w:type="gramStart"/>
      <w:r w:rsidRPr="0015766B">
        <w:rPr>
          <w:rFonts w:eastAsia="Times New Roman" w:cstheme="minorHAnsi"/>
          <w:b/>
          <w:bCs/>
          <w:color w:val="172C44"/>
          <w:sz w:val="24"/>
          <w:szCs w:val="24"/>
          <w:lang w:eastAsia="en-AU"/>
        </w:rPr>
        <w:t>land</w:t>
      </w:r>
      <w:proofErr w:type="gramEnd"/>
    </w:p>
    <w:p w14:paraId="381F8243"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 xml:space="preserve">Required if the proposed works show encroachment on adjoining </w:t>
      </w:r>
      <w:proofErr w:type="gramStart"/>
      <w:r w:rsidRPr="0015766B">
        <w:rPr>
          <w:rFonts w:eastAsia="Times New Roman" w:cstheme="minorHAnsi"/>
          <w:color w:val="383838"/>
          <w:sz w:val="24"/>
          <w:szCs w:val="24"/>
          <w:lang w:eastAsia="en-AU"/>
        </w:rPr>
        <w:t>land, or</w:t>
      </w:r>
      <w:proofErr w:type="gramEnd"/>
      <w:r w:rsidRPr="0015766B">
        <w:rPr>
          <w:rFonts w:eastAsia="Times New Roman" w:cstheme="minorHAnsi"/>
          <w:color w:val="383838"/>
          <w:sz w:val="24"/>
          <w:szCs w:val="24"/>
          <w:lang w:eastAsia="en-AU"/>
        </w:rPr>
        <w:t xml:space="preserve"> works that will adversely affect an adjoining property. Neighbours’ consent is required prior to issue of the Building Permit. </w:t>
      </w:r>
      <w:hyperlink r:id="rId13" w:tgtFrame="_blank" w:history="1">
        <w:r w:rsidRPr="0015766B">
          <w:rPr>
            <w:rFonts w:eastAsia="Times New Roman" w:cstheme="minorHAnsi"/>
            <w:color w:val="000000"/>
            <w:sz w:val="24"/>
            <w:szCs w:val="24"/>
            <w:u w:val="single"/>
            <w:lang w:eastAsia="en-AU"/>
          </w:rPr>
          <w:t>Access BA20 form: Notice and request for consent to encroach or adversely affect</w:t>
        </w:r>
      </w:hyperlink>
      <w:r w:rsidRPr="0015766B">
        <w:rPr>
          <w:rFonts w:eastAsia="Times New Roman" w:cstheme="minorHAnsi"/>
          <w:color w:val="383838"/>
          <w:sz w:val="24"/>
          <w:szCs w:val="24"/>
          <w:lang w:eastAsia="en-AU"/>
        </w:rPr>
        <w:t> (available on the Department of Mines, Industry Regulation and Safety website).</w:t>
      </w:r>
    </w:p>
    <w:p w14:paraId="2BD522E7"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 xml:space="preserve">BA20A Form – Work affecting other land – access </w:t>
      </w:r>
      <w:proofErr w:type="gramStart"/>
      <w:r w:rsidRPr="0015766B">
        <w:rPr>
          <w:rFonts w:eastAsia="Times New Roman" w:cstheme="minorHAnsi"/>
          <w:b/>
          <w:bCs/>
          <w:color w:val="172C44"/>
          <w:sz w:val="24"/>
          <w:szCs w:val="24"/>
          <w:lang w:eastAsia="en-AU"/>
        </w:rPr>
        <w:t>only</w:t>
      </w:r>
      <w:proofErr w:type="gramEnd"/>
    </w:p>
    <w:p w14:paraId="2AA8B43D"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Required if the proposed works involve removing a fence/working on boundary requiring access to neighbour’s land etc. the Builder/Owner is to obtain neighbours consent prior to works commencing. </w:t>
      </w:r>
      <w:hyperlink r:id="rId14" w:tgtFrame="_blank" w:history="1">
        <w:r w:rsidRPr="0015766B">
          <w:rPr>
            <w:rFonts w:eastAsia="Times New Roman" w:cstheme="minorHAnsi"/>
            <w:color w:val="000000"/>
            <w:sz w:val="24"/>
            <w:szCs w:val="24"/>
            <w:u w:val="single"/>
            <w:lang w:eastAsia="en-AU"/>
          </w:rPr>
          <w:t>Access BA20A form – Notice and request for consent (response notice): Protection structures, party walls, removal of fences, access to land</w:t>
        </w:r>
      </w:hyperlink>
      <w:r w:rsidRPr="0015766B">
        <w:rPr>
          <w:rFonts w:eastAsia="Times New Roman" w:cstheme="minorHAnsi"/>
          <w:color w:val="383838"/>
          <w:sz w:val="24"/>
          <w:szCs w:val="24"/>
          <w:lang w:eastAsia="en-AU"/>
        </w:rPr>
        <w:t> (available on the Department of Mines, Industry Regulation and Safety website).</w:t>
      </w:r>
    </w:p>
    <w:p w14:paraId="2517441B"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Heritage notification proof</w:t>
      </w:r>
    </w:p>
    <w:p w14:paraId="089C7F47" w14:textId="77777777" w:rsidR="0015766B" w:rsidRPr="0015766B" w:rsidRDefault="0015766B" w:rsidP="0015766B">
      <w:pPr>
        <w:spacing w:beforeAutospacing="1" w:after="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Required if applicable as per </w:t>
      </w:r>
      <w:hyperlink r:id="rId15" w:tgtFrame="_blank" w:history="1">
        <w:r w:rsidRPr="0015766B">
          <w:rPr>
            <w:rFonts w:eastAsia="Times New Roman" w:cstheme="minorHAnsi"/>
            <w:color w:val="000000"/>
            <w:sz w:val="24"/>
            <w:szCs w:val="24"/>
            <w:u w:val="single"/>
            <w:lang w:eastAsia="en-AU"/>
          </w:rPr>
          <w:t>Heritage Council of WA</w:t>
        </w:r>
      </w:hyperlink>
      <w:r w:rsidRPr="0015766B">
        <w:rPr>
          <w:rFonts w:eastAsia="Times New Roman" w:cstheme="minorHAnsi"/>
          <w:color w:val="383838"/>
          <w:sz w:val="24"/>
          <w:szCs w:val="24"/>
          <w:lang w:eastAsia="en-AU"/>
        </w:rPr>
        <w:t>.</w:t>
      </w:r>
    </w:p>
    <w:p w14:paraId="76CB747F"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Septic application</w:t>
      </w:r>
    </w:p>
    <w:p w14:paraId="764124B1" w14:textId="77777777" w:rsidR="0015766B" w:rsidRPr="0015766B" w:rsidRDefault="0015766B" w:rsidP="0015766B">
      <w:pPr>
        <w:spacing w:before="100" w:beforeAutospacing="1" w:after="10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lastRenderedPageBreak/>
        <w:t>Required if applicable, complete the application form below and submit with payment to the Shire.</w:t>
      </w:r>
    </w:p>
    <w:p w14:paraId="3C29A48B" w14:textId="77777777" w:rsidR="0015766B" w:rsidRPr="0015766B" w:rsidRDefault="0015766B" w:rsidP="0015766B">
      <w:pPr>
        <w:spacing w:after="0" w:afterAutospacing="1" w:line="288" w:lineRule="atLeast"/>
        <w:outlineLvl w:val="2"/>
        <w:rPr>
          <w:rFonts w:eastAsia="Times New Roman" w:cstheme="minorHAnsi"/>
          <w:color w:val="172C44"/>
          <w:sz w:val="24"/>
          <w:szCs w:val="24"/>
          <w:lang w:eastAsia="en-AU"/>
        </w:rPr>
      </w:pPr>
      <w:r w:rsidRPr="0015766B">
        <w:rPr>
          <w:rFonts w:eastAsia="Times New Roman" w:cstheme="minorHAnsi"/>
          <w:b/>
          <w:bCs/>
          <w:color w:val="172C44"/>
          <w:sz w:val="24"/>
          <w:szCs w:val="24"/>
          <w:lang w:eastAsia="en-AU"/>
        </w:rPr>
        <w:t>Planning approval</w:t>
      </w:r>
    </w:p>
    <w:p w14:paraId="249A4748" w14:textId="77777777" w:rsidR="0015766B" w:rsidRPr="0015766B" w:rsidRDefault="0015766B" w:rsidP="0015766B">
      <w:pPr>
        <w:spacing w:before="100" w:beforeAutospacing="1" w:after="100" w:afterAutospacing="1"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Also referred to as a DA or development application, planning approval is required for grouped dwellings (in excess of three), codes variations (reduced boundary setbacks or over size etc), and/or if the District Planning Scheme (DPS) requires, such as buildings in a landscape protection area etc.</w:t>
      </w:r>
    </w:p>
    <w:p w14:paraId="4DAD6661" w14:textId="77777777" w:rsidR="0015766B" w:rsidRPr="0015766B" w:rsidRDefault="0015766B" w:rsidP="0015766B">
      <w:pPr>
        <w:spacing w:beforeAutospacing="1" w:after="0" w:line="240" w:lineRule="auto"/>
        <w:rPr>
          <w:rFonts w:eastAsia="Times New Roman" w:cstheme="minorHAnsi"/>
          <w:color w:val="383838"/>
          <w:sz w:val="24"/>
          <w:szCs w:val="24"/>
          <w:lang w:eastAsia="en-AU"/>
        </w:rPr>
      </w:pPr>
      <w:r w:rsidRPr="0015766B">
        <w:rPr>
          <w:rFonts w:eastAsia="Times New Roman" w:cstheme="minorHAnsi"/>
          <w:color w:val="383838"/>
          <w:sz w:val="24"/>
          <w:szCs w:val="24"/>
          <w:lang w:eastAsia="en-AU"/>
        </w:rPr>
        <w:t>For more information refer to the </w:t>
      </w:r>
      <w:hyperlink r:id="rId16" w:tgtFrame="_blank" w:history="1">
        <w:r w:rsidRPr="0015766B">
          <w:rPr>
            <w:rFonts w:eastAsia="Times New Roman" w:cstheme="minorHAnsi"/>
            <w:color w:val="000000"/>
            <w:sz w:val="24"/>
            <w:szCs w:val="24"/>
            <w:u w:val="single"/>
            <w:lang w:eastAsia="en-AU"/>
          </w:rPr>
          <w:t>R Codes - State Planning Policy</w:t>
        </w:r>
      </w:hyperlink>
      <w:r w:rsidRPr="0015766B">
        <w:rPr>
          <w:rFonts w:eastAsia="Times New Roman" w:cstheme="minorHAnsi"/>
          <w:color w:val="383838"/>
          <w:sz w:val="24"/>
          <w:szCs w:val="24"/>
          <w:lang w:eastAsia="en-AU"/>
        </w:rPr>
        <w:t> and the Shire of Harvey’s Outbuildings Policy (see below).</w:t>
      </w:r>
    </w:p>
    <w:p w14:paraId="097D04E5" w14:textId="77777777" w:rsidR="003C4929" w:rsidRPr="0015766B" w:rsidRDefault="003C4929">
      <w:pPr>
        <w:rPr>
          <w:rFonts w:cstheme="minorHAnsi"/>
          <w:sz w:val="24"/>
          <w:szCs w:val="24"/>
        </w:rPr>
      </w:pPr>
    </w:p>
    <w:sectPr w:rsidR="003C4929" w:rsidRPr="00157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F5CD1"/>
    <w:multiLevelType w:val="multilevel"/>
    <w:tmpl w:val="1AD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5F3ACA"/>
    <w:multiLevelType w:val="multilevel"/>
    <w:tmpl w:val="2F6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6B"/>
    <w:rsid w:val="0015766B"/>
    <w:rsid w:val="003C4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EED7"/>
  <w15:chartTrackingRefBased/>
  <w15:docId w15:val="{59EB4069-AB23-4987-8921-F6AFB411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766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5766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766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5766B"/>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15766B"/>
    <w:rPr>
      <w:i/>
      <w:iCs/>
    </w:rPr>
  </w:style>
  <w:style w:type="paragraph" w:styleId="NormalWeb">
    <w:name w:val="Normal (Web)"/>
    <w:basedOn w:val="Normal"/>
    <w:uiPriority w:val="99"/>
    <w:semiHidden/>
    <w:unhideWhenUsed/>
    <w:rsid w:val="001576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5766B"/>
    <w:rPr>
      <w:color w:val="0000FF"/>
      <w:u w:val="single"/>
    </w:rPr>
  </w:style>
  <w:style w:type="character" w:styleId="Strong">
    <w:name w:val="Strong"/>
    <w:basedOn w:val="DefaultParagraphFont"/>
    <w:uiPriority w:val="22"/>
    <w:qFormat/>
    <w:rsid w:val="00157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rce.wa.gov.au/building-and-energy/building-designated-bush-fire-prone-areas" TargetMode="External"/><Relationship Id="rId13" Type="http://schemas.openxmlformats.org/officeDocument/2006/relationships/hyperlink" Target="https://www.commerce.wa.gov.au/publications/ba20-notice-and-request-consent-encroach-or-adversely-affe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merce.wa.gov.au/building-and-energy/owner-builder-application" TargetMode="External"/><Relationship Id="rId12" Type="http://schemas.openxmlformats.org/officeDocument/2006/relationships/hyperlink" Target="https://maps.slip.wa.gov.au/landgate/bushfirepro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plh.wa.gov.au/rcodes" TargetMode="External"/><Relationship Id="rId1" Type="http://schemas.openxmlformats.org/officeDocument/2006/relationships/numbering" Target="numbering.xml"/><Relationship Id="rId6" Type="http://schemas.openxmlformats.org/officeDocument/2006/relationships/hyperlink" Target="https://www.commerce.wa.gov.au/building-commission/building-approval-forms-0" TargetMode="External"/><Relationship Id="rId11" Type="http://schemas.openxmlformats.org/officeDocument/2006/relationships/hyperlink" Target="https://ctf.wa.gov.au/industry/bcitf-levy/" TargetMode="External"/><Relationship Id="rId5" Type="http://schemas.openxmlformats.org/officeDocument/2006/relationships/hyperlink" Target="https://www.commerce.wa.gov.au/building-and-energy/building-classes" TargetMode="External"/><Relationship Id="rId15" Type="http://schemas.openxmlformats.org/officeDocument/2006/relationships/hyperlink" Target="http://www.stateheritage.wa.gov.au/" TargetMode="External"/><Relationship Id="rId10" Type="http://schemas.openxmlformats.org/officeDocument/2006/relationships/hyperlink" Target="https://www.watercorporation.com.au/Developing-and-building/Building/Lodging-a-building-application" TargetMode="External"/><Relationship Id="rId4" Type="http://schemas.openxmlformats.org/officeDocument/2006/relationships/webSettings" Target="webSettings.xml"/><Relationship Id="rId9" Type="http://schemas.openxmlformats.org/officeDocument/2006/relationships/hyperlink" Target="https://www.commerce.wa.gov.au/building-and-energy/energy-efficiency-residential-buildings" TargetMode="External"/><Relationship Id="rId14" Type="http://schemas.openxmlformats.org/officeDocument/2006/relationships/hyperlink" Target="https://www.commerce.wa.gov.au/publications/ba20a-notice-and-request-consent-response-notice-protection-structures-party-w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Herrington</dc:creator>
  <cp:keywords/>
  <dc:description/>
  <cp:lastModifiedBy>Jennie Herrington</cp:lastModifiedBy>
  <cp:revision>1</cp:revision>
  <dcterms:created xsi:type="dcterms:W3CDTF">2021-07-07T01:54:00Z</dcterms:created>
  <dcterms:modified xsi:type="dcterms:W3CDTF">2021-07-07T01:57:00Z</dcterms:modified>
</cp:coreProperties>
</file>