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C530F" w14:textId="77777777" w:rsidR="00173C3F" w:rsidRPr="00173C3F" w:rsidRDefault="00173C3F" w:rsidP="00173C3F">
      <w:pPr>
        <w:spacing w:after="100" w:afterAutospacing="1" w:line="288" w:lineRule="atLeast"/>
        <w:outlineLvl w:val="1"/>
        <w:rPr>
          <w:rFonts w:eastAsia="Times New Roman" w:cstheme="minorHAnsi"/>
          <w:color w:val="172C44"/>
          <w:sz w:val="44"/>
          <w:szCs w:val="44"/>
          <w:lang w:eastAsia="en-AU"/>
        </w:rPr>
      </w:pPr>
      <w:r w:rsidRPr="00173C3F">
        <w:rPr>
          <w:rFonts w:eastAsia="Times New Roman" w:cstheme="minorHAnsi"/>
          <w:color w:val="172C44"/>
          <w:sz w:val="44"/>
          <w:szCs w:val="44"/>
          <w:lang w:eastAsia="en-AU"/>
        </w:rPr>
        <w:t>Important notes</w:t>
      </w:r>
    </w:p>
    <w:p w14:paraId="77CB6E71" w14:textId="77777777" w:rsidR="00173C3F" w:rsidRPr="00173C3F" w:rsidRDefault="00173C3F" w:rsidP="00173C3F">
      <w:pPr>
        <w:numPr>
          <w:ilvl w:val="0"/>
          <w:numId w:val="1"/>
        </w:numPr>
        <w:spacing w:after="75" w:line="240" w:lineRule="auto"/>
        <w:ind w:left="1140" w:hanging="345"/>
        <w:rPr>
          <w:rFonts w:eastAsia="Times New Roman" w:cstheme="minorHAnsi"/>
          <w:color w:val="383838"/>
          <w:lang w:eastAsia="en-AU"/>
        </w:rPr>
      </w:pPr>
      <w:r w:rsidRPr="00173C3F">
        <w:rPr>
          <w:rFonts w:eastAsia="Times New Roman" w:cstheme="minorHAnsi"/>
          <w:color w:val="383838"/>
          <w:lang w:eastAsia="en-AU"/>
        </w:rPr>
        <w:t xml:space="preserve">Applications submitted without all of the applicable items listed below, will not be </w:t>
      </w:r>
      <w:proofErr w:type="gramStart"/>
      <w:r w:rsidRPr="00173C3F">
        <w:rPr>
          <w:rFonts w:eastAsia="Times New Roman" w:cstheme="minorHAnsi"/>
          <w:color w:val="383838"/>
          <w:lang w:eastAsia="en-AU"/>
        </w:rPr>
        <w:t>accepted</w:t>
      </w:r>
      <w:proofErr w:type="gramEnd"/>
      <w:r w:rsidRPr="00173C3F">
        <w:rPr>
          <w:rFonts w:eastAsia="Times New Roman" w:cstheme="minorHAnsi"/>
          <w:color w:val="383838"/>
          <w:lang w:eastAsia="en-AU"/>
        </w:rPr>
        <w:t xml:space="preserve"> and will be returned.</w:t>
      </w:r>
    </w:p>
    <w:p w14:paraId="5258D8F7" w14:textId="77777777" w:rsidR="00173C3F" w:rsidRPr="00173C3F" w:rsidRDefault="00173C3F" w:rsidP="00173C3F">
      <w:pPr>
        <w:numPr>
          <w:ilvl w:val="0"/>
          <w:numId w:val="1"/>
        </w:numPr>
        <w:spacing w:beforeAutospacing="1" w:after="0" w:line="240" w:lineRule="auto"/>
        <w:ind w:left="1140" w:hanging="345"/>
        <w:rPr>
          <w:rFonts w:eastAsia="Times New Roman" w:cstheme="minorHAnsi"/>
          <w:color w:val="383838"/>
          <w:lang w:eastAsia="en-AU"/>
        </w:rPr>
      </w:pPr>
      <w:r w:rsidRPr="00173C3F">
        <w:rPr>
          <w:rFonts w:eastAsia="Times New Roman" w:cstheme="minorHAnsi"/>
          <w:color w:val="383838"/>
          <w:lang w:eastAsia="en-AU"/>
        </w:rPr>
        <w:t>The </w:t>
      </w:r>
      <w:r w:rsidRPr="00173C3F">
        <w:rPr>
          <w:rFonts w:eastAsia="Times New Roman" w:cstheme="minorHAnsi"/>
          <w:i/>
          <w:iCs/>
          <w:color w:val="383838"/>
          <w:lang w:eastAsia="en-AU"/>
        </w:rPr>
        <w:t>Building Act 2011</w:t>
      </w:r>
      <w:r w:rsidRPr="00173C3F">
        <w:rPr>
          <w:rFonts w:eastAsia="Times New Roman" w:cstheme="minorHAnsi"/>
          <w:color w:val="383838"/>
          <w:lang w:eastAsia="en-AU"/>
        </w:rPr>
        <w:t> requires that all applicable approvals, including planning approval, are obtained prior to lodgement of a building permit application.</w:t>
      </w:r>
    </w:p>
    <w:p w14:paraId="35885592" w14:textId="77777777" w:rsidR="00173C3F" w:rsidRPr="00173C3F" w:rsidRDefault="00173C3F" w:rsidP="00173C3F">
      <w:pPr>
        <w:numPr>
          <w:ilvl w:val="0"/>
          <w:numId w:val="1"/>
        </w:numPr>
        <w:spacing w:before="100" w:beforeAutospacing="1" w:after="0" w:line="240" w:lineRule="auto"/>
        <w:ind w:left="1140" w:hanging="345"/>
        <w:rPr>
          <w:rFonts w:eastAsia="Times New Roman" w:cstheme="minorHAnsi"/>
          <w:color w:val="383838"/>
          <w:lang w:eastAsia="en-AU"/>
        </w:rPr>
      </w:pPr>
      <w:r w:rsidRPr="00173C3F">
        <w:rPr>
          <w:rFonts w:eastAsia="Times New Roman" w:cstheme="minorHAnsi"/>
          <w:color w:val="383838"/>
          <w:lang w:eastAsia="en-AU"/>
        </w:rPr>
        <w:t>This list is not a complete list of all requirements but is a general guide of the minimum information required.</w:t>
      </w:r>
    </w:p>
    <w:p w14:paraId="4A4793B6" w14:textId="77777777" w:rsidR="00173C3F" w:rsidRPr="00173C3F" w:rsidRDefault="00173C3F" w:rsidP="00173C3F">
      <w:pPr>
        <w:spacing w:after="100" w:afterAutospacing="1" w:line="288" w:lineRule="atLeast"/>
        <w:outlineLvl w:val="1"/>
        <w:rPr>
          <w:rFonts w:eastAsia="Times New Roman" w:cstheme="minorHAnsi"/>
          <w:color w:val="172C44"/>
          <w:sz w:val="44"/>
          <w:szCs w:val="44"/>
          <w:lang w:eastAsia="en-AU"/>
        </w:rPr>
      </w:pPr>
      <w:r w:rsidRPr="00173C3F">
        <w:rPr>
          <w:rFonts w:eastAsia="Times New Roman" w:cstheme="minorHAnsi"/>
          <w:color w:val="172C44"/>
          <w:sz w:val="44"/>
          <w:szCs w:val="44"/>
          <w:lang w:eastAsia="en-AU"/>
        </w:rPr>
        <w:t>Class definitions</w:t>
      </w:r>
    </w:p>
    <w:p w14:paraId="36FA8682" w14:textId="77777777" w:rsidR="00173C3F" w:rsidRPr="00173C3F" w:rsidRDefault="00173C3F" w:rsidP="00173C3F">
      <w:pPr>
        <w:spacing w:after="100" w:afterAutospacing="1" w:line="288" w:lineRule="atLeast"/>
        <w:outlineLvl w:val="2"/>
        <w:rPr>
          <w:rFonts w:eastAsia="Times New Roman" w:cstheme="minorHAnsi"/>
          <w:color w:val="172C44"/>
          <w:sz w:val="24"/>
          <w:szCs w:val="24"/>
          <w:lang w:eastAsia="en-AU"/>
        </w:rPr>
      </w:pPr>
      <w:r w:rsidRPr="00173C3F">
        <w:rPr>
          <w:rFonts w:eastAsia="Times New Roman" w:cstheme="minorHAnsi"/>
          <w:color w:val="172C44"/>
          <w:sz w:val="24"/>
          <w:szCs w:val="24"/>
          <w:lang w:eastAsia="en-AU"/>
        </w:rPr>
        <w:t>Class 1a</w:t>
      </w:r>
    </w:p>
    <w:p w14:paraId="4406F774" w14:textId="77777777" w:rsidR="00173C3F" w:rsidRPr="00173C3F" w:rsidRDefault="00173C3F" w:rsidP="00173C3F">
      <w:pPr>
        <w:spacing w:before="100" w:beforeAutospacing="1" w:after="100" w:afterAutospacing="1" w:line="240" w:lineRule="auto"/>
        <w:rPr>
          <w:rFonts w:eastAsia="Times New Roman" w:cstheme="minorHAnsi"/>
          <w:color w:val="383838"/>
          <w:lang w:eastAsia="en-AU"/>
        </w:rPr>
      </w:pPr>
      <w:r w:rsidRPr="00173C3F">
        <w:rPr>
          <w:rFonts w:eastAsia="Times New Roman" w:cstheme="minorHAnsi"/>
          <w:color w:val="383838"/>
          <w:lang w:eastAsia="en-AU"/>
        </w:rPr>
        <w:t>A single dwelling (and additions) being a detached house or one of a group of associated dwellings, town houses, villas and the like separated by a fire-resisting wall or fire source feature spacing.</w:t>
      </w:r>
    </w:p>
    <w:p w14:paraId="5A4FE8E4" w14:textId="77777777" w:rsidR="00173C3F" w:rsidRPr="00173C3F" w:rsidRDefault="00173C3F" w:rsidP="00173C3F">
      <w:pPr>
        <w:spacing w:after="100" w:afterAutospacing="1" w:line="288" w:lineRule="atLeast"/>
        <w:outlineLvl w:val="2"/>
        <w:rPr>
          <w:rFonts w:eastAsia="Times New Roman" w:cstheme="minorHAnsi"/>
          <w:color w:val="172C44"/>
          <w:sz w:val="24"/>
          <w:szCs w:val="24"/>
          <w:lang w:eastAsia="en-AU"/>
        </w:rPr>
      </w:pPr>
      <w:r w:rsidRPr="00173C3F">
        <w:rPr>
          <w:rFonts w:eastAsia="Times New Roman" w:cstheme="minorHAnsi"/>
          <w:color w:val="172C44"/>
          <w:sz w:val="24"/>
          <w:szCs w:val="24"/>
          <w:lang w:eastAsia="en-AU"/>
        </w:rPr>
        <w:t>Class 1b</w:t>
      </w:r>
    </w:p>
    <w:p w14:paraId="46A6652B" w14:textId="77777777" w:rsidR="00173C3F" w:rsidRPr="00173C3F" w:rsidRDefault="00173C3F" w:rsidP="00173C3F">
      <w:pPr>
        <w:spacing w:before="100" w:beforeAutospacing="1" w:after="100" w:afterAutospacing="1" w:line="240" w:lineRule="auto"/>
        <w:rPr>
          <w:rFonts w:eastAsia="Times New Roman" w:cstheme="minorHAnsi"/>
          <w:color w:val="383838"/>
          <w:lang w:eastAsia="en-AU"/>
        </w:rPr>
      </w:pPr>
      <w:r w:rsidRPr="00173C3F">
        <w:rPr>
          <w:rFonts w:eastAsia="Times New Roman" w:cstheme="minorHAnsi"/>
          <w:color w:val="383838"/>
          <w:lang w:eastAsia="en-AU"/>
        </w:rPr>
        <w:t xml:space="preserve">A boarding house, guest house, </w:t>
      </w:r>
      <w:proofErr w:type="gramStart"/>
      <w:r w:rsidRPr="00173C3F">
        <w:rPr>
          <w:rFonts w:eastAsia="Times New Roman" w:cstheme="minorHAnsi"/>
          <w:color w:val="383838"/>
          <w:lang w:eastAsia="en-AU"/>
        </w:rPr>
        <w:t>hostel</w:t>
      </w:r>
      <w:proofErr w:type="gramEnd"/>
      <w:r w:rsidRPr="00173C3F">
        <w:rPr>
          <w:rFonts w:eastAsia="Times New Roman" w:cstheme="minorHAnsi"/>
          <w:color w:val="383838"/>
          <w:lang w:eastAsia="en-AU"/>
        </w:rPr>
        <w:t xml:space="preserve"> or the like with a floor area of less than 300m2 and designed for less than 12 people to reside or a short-term holiday accommodation of four or more single dwellings or cabins on the one allotment.</w:t>
      </w:r>
    </w:p>
    <w:p w14:paraId="78840380" w14:textId="77777777" w:rsidR="00173C3F" w:rsidRPr="00173C3F" w:rsidRDefault="00173C3F" w:rsidP="00173C3F">
      <w:pPr>
        <w:spacing w:after="100" w:afterAutospacing="1" w:line="288" w:lineRule="atLeast"/>
        <w:outlineLvl w:val="1"/>
        <w:rPr>
          <w:rFonts w:eastAsia="Times New Roman" w:cstheme="minorHAnsi"/>
          <w:color w:val="172C44"/>
          <w:sz w:val="44"/>
          <w:szCs w:val="44"/>
          <w:lang w:eastAsia="en-AU"/>
        </w:rPr>
      </w:pPr>
      <w:r w:rsidRPr="00173C3F">
        <w:rPr>
          <w:rFonts w:eastAsia="Times New Roman" w:cstheme="minorHAnsi"/>
          <w:color w:val="172C44"/>
          <w:sz w:val="44"/>
          <w:szCs w:val="44"/>
          <w:lang w:eastAsia="en-AU"/>
        </w:rPr>
        <w:t>Information required (mandatory)</w:t>
      </w:r>
    </w:p>
    <w:p w14:paraId="7B874061" w14:textId="77777777" w:rsidR="00173C3F" w:rsidRPr="00173C3F" w:rsidRDefault="00173C3F" w:rsidP="00173C3F">
      <w:pPr>
        <w:spacing w:after="0" w:afterAutospacing="1" w:line="288" w:lineRule="atLeast"/>
        <w:outlineLvl w:val="2"/>
        <w:rPr>
          <w:rFonts w:eastAsia="Times New Roman" w:cstheme="minorHAnsi"/>
          <w:color w:val="172C44"/>
          <w:sz w:val="24"/>
          <w:szCs w:val="24"/>
          <w:lang w:eastAsia="en-AU"/>
        </w:rPr>
      </w:pPr>
      <w:r w:rsidRPr="00173C3F">
        <w:rPr>
          <w:rFonts w:eastAsia="Times New Roman" w:cstheme="minorHAnsi"/>
          <w:b/>
          <w:bCs/>
          <w:color w:val="172C44"/>
          <w:sz w:val="24"/>
          <w:szCs w:val="24"/>
          <w:lang w:eastAsia="en-AU"/>
        </w:rPr>
        <w:t>Building approval forms</w:t>
      </w:r>
    </w:p>
    <w:p w14:paraId="0EBDC53F" w14:textId="77777777" w:rsidR="00173C3F" w:rsidRPr="00173C3F" w:rsidRDefault="00173C3F" w:rsidP="00173C3F">
      <w:pPr>
        <w:spacing w:before="100" w:beforeAutospacing="1" w:after="100" w:afterAutospacing="1" w:line="240" w:lineRule="auto"/>
        <w:rPr>
          <w:rFonts w:eastAsia="Times New Roman" w:cstheme="minorHAnsi"/>
          <w:color w:val="383838"/>
          <w:lang w:eastAsia="en-AU"/>
        </w:rPr>
      </w:pPr>
      <w:r w:rsidRPr="00173C3F">
        <w:rPr>
          <w:rFonts w:eastAsia="Times New Roman" w:cstheme="minorHAnsi"/>
          <w:color w:val="383838"/>
          <w:lang w:eastAsia="en-AU"/>
        </w:rPr>
        <w:t>Form BA1 Certified Building Application and Form BA3 Certificate of Design Compliance (issued by a private Registered Building Surveyor Contractor).  </w:t>
      </w:r>
    </w:p>
    <w:p w14:paraId="2144CD0B" w14:textId="77777777" w:rsidR="00173C3F" w:rsidRPr="00173C3F" w:rsidRDefault="00173C3F" w:rsidP="00173C3F">
      <w:pPr>
        <w:spacing w:before="100" w:beforeAutospacing="1" w:after="100" w:afterAutospacing="1" w:line="240" w:lineRule="auto"/>
        <w:rPr>
          <w:rFonts w:eastAsia="Times New Roman" w:cstheme="minorHAnsi"/>
          <w:color w:val="383838"/>
          <w:lang w:eastAsia="en-AU"/>
        </w:rPr>
      </w:pPr>
      <w:r w:rsidRPr="00173C3F">
        <w:rPr>
          <w:rFonts w:eastAsia="Times New Roman" w:cstheme="minorHAnsi"/>
          <w:color w:val="383838"/>
          <w:lang w:eastAsia="en-AU"/>
        </w:rPr>
        <w:t>Note, all the plans and documents listed on the Certificate of Design Compliance must be submitted with the application.</w:t>
      </w:r>
    </w:p>
    <w:p w14:paraId="677AD997" w14:textId="77777777" w:rsidR="00173C3F" w:rsidRPr="00173C3F" w:rsidRDefault="00173C3F" w:rsidP="00173C3F">
      <w:pPr>
        <w:spacing w:beforeAutospacing="1" w:after="0" w:afterAutospacing="1" w:line="240" w:lineRule="auto"/>
        <w:rPr>
          <w:rFonts w:eastAsia="Times New Roman" w:cstheme="minorHAnsi"/>
          <w:color w:val="383838"/>
          <w:lang w:eastAsia="en-AU"/>
        </w:rPr>
      </w:pPr>
      <w:hyperlink r:id="rId5" w:tgtFrame="_blank" w:history="1">
        <w:r w:rsidRPr="00173C3F">
          <w:rPr>
            <w:rFonts w:eastAsia="Times New Roman" w:cstheme="minorHAnsi"/>
            <w:color w:val="000000"/>
            <w:u w:val="single"/>
            <w:lang w:eastAsia="en-AU"/>
          </w:rPr>
          <w:t>Access forms BA1 and BA3</w:t>
        </w:r>
      </w:hyperlink>
      <w:r w:rsidRPr="00173C3F">
        <w:rPr>
          <w:rFonts w:eastAsia="Times New Roman" w:cstheme="minorHAnsi"/>
          <w:color w:val="383838"/>
          <w:lang w:eastAsia="en-AU"/>
        </w:rPr>
        <w:t>  (available on the Department of Mines, Industry Regulation and Safety website).</w:t>
      </w:r>
    </w:p>
    <w:p w14:paraId="6EFA5157" w14:textId="77777777" w:rsidR="00173C3F" w:rsidRPr="00173C3F" w:rsidRDefault="00173C3F" w:rsidP="00173C3F">
      <w:pPr>
        <w:spacing w:after="0" w:afterAutospacing="1" w:line="288" w:lineRule="atLeast"/>
        <w:outlineLvl w:val="2"/>
        <w:rPr>
          <w:rFonts w:eastAsia="Times New Roman" w:cstheme="minorHAnsi"/>
          <w:color w:val="172C44"/>
          <w:sz w:val="24"/>
          <w:szCs w:val="24"/>
          <w:lang w:eastAsia="en-AU"/>
        </w:rPr>
      </w:pPr>
      <w:r w:rsidRPr="00173C3F">
        <w:rPr>
          <w:rFonts w:eastAsia="Times New Roman" w:cstheme="minorHAnsi"/>
          <w:b/>
          <w:bCs/>
          <w:color w:val="172C44"/>
          <w:sz w:val="24"/>
          <w:szCs w:val="24"/>
          <w:lang w:eastAsia="en-AU"/>
        </w:rPr>
        <w:t>Indemnity insurance</w:t>
      </w:r>
    </w:p>
    <w:p w14:paraId="140F6E7E" w14:textId="77777777" w:rsidR="00173C3F" w:rsidRPr="00173C3F" w:rsidRDefault="00173C3F" w:rsidP="00173C3F">
      <w:pPr>
        <w:spacing w:before="100" w:beforeAutospacing="1" w:after="100" w:afterAutospacing="1" w:line="240" w:lineRule="auto"/>
        <w:rPr>
          <w:rFonts w:eastAsia="Times New Roman" w:cstheme="minorHAnsi"/>
          <w:color w:val="383838"/>
          <w:lang w:eastAsia="en-AU"/>
        </w:rPr>
      </w:pPr>
      <w:r w:rsidRPr="00173C3F">
        <w:rPr>
          <w:rFonts w:eastAsia="Times New Roman" w:cstheme="minorHAnsi"/>
          <w:color w:val="383838"/>
          <w:lang w:eastAsia="en-AU"/>
        </w:rPr>
        <w:t>Copy of insurance policy if registered builder. Note, this is not applicable for Owner Builder.</w:t>
      </w:r>
    </w:p>
    <w:p w14:paraId="2F0EA33A" w14:textId="77777777" w:rsidR="00173C3F" w:rsidRPr="00173C3F" w:rsidRDefault="00173C3F" w:rsidP="00173C3F">
      <w:pPr>
        <w:spacing w:beforeAutospacing="1" w:after="0" w:afterAutospacing="1" w:line="240" w:lineRule="auto"/>
        <w:rPr>
          <w:rFonts w:eastAsia="Times New Roman" w:cstheme="minorHAnsi"/>
          <w:color w:val="383838"/>
          <w:lang w:eastAsia="en-AU"/>
        </w:rPr>
      </w:pPr>
      <w:r w:rsidRPr="00173C3F">
        <w:rPr>
          <w:rFonts w:eastAsia="Times New Roman" w:cstheme="minorHAnsi"/>
          <w:color w:val="383838"/>
          <w:lang w:eastAsia="en-AU"/>
        </w:rPr>
        <w:t>Find out more about </w:t>
      </w:r>
      <w:hyperlink r:id="rId6" w:tgtFrame="_blank" w:history="1">
        <w:r w:rsidRPr="00173C3F">
          <w:rPr>
            <w:rFonts w:eastAsia="Times New Roman" w:cstheme="minorHAnsi"/>
            <w:color w:val="000000"/>
            <w:u w:val="single"/>
            <w:lang w:eastAsia="en-AU"/>
          </w:rPr>
          <w:t>home indemnity insurance</w:t>
        </w:r>
      </w:hyperlink>
      <w:r w:rsidRPr="00173C3F">
        <w:rPr>
          <w:rFonts w:eastAsia="Times New Roman" w:cstheme="minorHAnsi"/>
          <w:color w:val="383838"/>
          <w:lang w:eastAsia="en-AU"/>
        </w:rPr>
        <w:t>.</w:t>
      </w:r>
    </w:p>
    <w:p w14:paraId="5F98BE89" w14:textId="77777777" w:rsidR="00173C3F" w:rsidRPr="00173C3F" w:rsidRDefault="00173C3F" w:rsidP="00173C3F">
      <w:pPr>
        <w:spacing w:after="0" w:afterAutospacing="1" w:line="288" w:lineRule="atLeast"/>
        <w:outlineLvl w:val="2"/>
        <w:rPr>
          <w:rFonts w:eastAsia="Times New Roman" w:cstheme="minorHAnsi"/>
          <w:color w:val="172C44"/>
          <w:sz w:val="24"/>
          <w:szCs w:val="24"/>
          <w:lang w:eastAsia="en-AU"/>
        </w:rPr>
      </w:pPr>
      <w:r w:rsidRPr="00173C3F">
        <w:rPr>
          <w:rFonts w:eastAsia="Times New Roman" w:cstheme="minorHAnsi"/>
          <w:b/>
          <w:bCs/>
          <w:color w:val="172C44"/>
          <w:sz w:val="24"/>
          <w:szCs w:val="24"/>
          <w:lang w:eastAsia="en-AU"/>
        </w:rPr>
        <w:t>Builder’s registration details or Owner Builder’s Licence</w:t>
      </w:r>
    </w:p>
    <w:p w14:paraId="01D27F24" w14:textId="77777777" w:rsidR="00173C3F" w:rsidRPr="00173C3F" w:rsidRDefault="00173C3F" w:rsidP="00173C3F">
      <w:pPr>
        <w:spacing w:before="100" w:beforeAutospacing="1" w:after="100" w:afterAutospacing="1" w:line="240" w:lineRule="auto"/>
        <w:rPr>
          <w:rFonts w:eastAsia="Times New Roman" w:cstheme="minorHAnsi"/>
          <w:color w:val="383838"/>
          <w:lang w:eastAsia="en-AU"/>
        </w:rPr>
      </w:pPr>
      <w:r w:rsidRPr="00173C3F">
        <w:rPr>
          <w:rFonts w:eastAsia="Times New Roman" w:cstheme="minorHAnsi"/>
          <w:color w:val="383838"/>
          <w:lang w:eastAsia="en-AU"/>
        </w:rPr>
        <w:t>Required if estimated construction value is over $20,000 in non-rural areas.</w:t>
      </w:r>
    </w:p>
    <w:p w14:paraId="036434BD" w14:textId="77777777" w:rsidR="00173C3F" w:rsidRPr="00173C3F" w:rsidRDefault="00173C3F" w:rsidP="00173C3F">
      <w:pPr>
        <w:spacing w:beforeAutospacing="1" w:after="0" w:afterAutospacing="1" w:line="240" w:lineRule="auto"/>
        <w:rPr>
          <w:rFonts w:eastAsia="Times New Roman" w:cstheme="minorHAnsi"/>
          <w:color w:val="383838"/>
          <w:lang w:eastAsia="en-AU"/>
        </w:rPr>
      </w:pPr>
      <w:hyperlink r:id="rId7" w:tgtFrame="_blank" w:history="1">
        <w:r w:rsidRPr="00173C3F">
          <w:rPr>
            <w:rFonts w:eastAsia="Times New Roman" w:cstheme="minorHAnsi"/>
            <w:color w:val="000000"/>
            <w:u w:val="single"/>
            <w:lang w:eastAsia="en-AU"/>
          </w:rPr>
          <w:t>Access form 75 Owner Builder Application</w:t>
        </w:r>
      </w:hyperlink>
      <w:r w:rsidRPr="00173C3F">
        <w:rPr>
          <w:rFonts w:eastAsia="Times New Roman" w:cstheme="minorHAnsi"/>
          <w:color w:val="383838"/>
          <w:lang w:eastAsia="en-AU"/>
        </w:rPr>
        <w:t> (available on the Department of Mines, Industry Regulation and Safety website).</w:t>
      </w:r>
    </w:p>
    <w:p w14:paraId="3647F408" w14:textId="77777777" w:rsidR="00173C3F" w:rsidRPr="00173C3F" w:rsidRDefault="00173C3F" w:rsidP="00173C3F">
      <w:pPr>
        <w:spacing w:after="0" w:afterAutospacing="1" w:line="288" w:lineRule="atLeast"/>
        <w:outlineLvl w:val="2"/>
        <w:rPr>
          <w:rFonts w:eastAsia="Times New Roman" w:cstheme="minorHAnsi"/>
          <w:color w:val="172C44"/>
          <w:sz w:val="24"/>
          <w:szCs w:val="24"/>
          <w:lang w:eastAsia="en-AU"/>
        </w:rPr>
      </w:pPr>
      <w:r w:rsidRPr="00173C3F">
        <w:rPr>
          <w:rFonts w:eastAsia="Times New Roman" w:cstheme="minorHAnsi"/>
          <w:b/>
          <w:bCs/>
          <w:color w:val="172C44"/>
          <w:sz w:val="24"/>
          <w:szCs w:val="24"/>
          <w:lang w:eastAsia="en-AU"/>
        </w:rPr>
        <w:lastRenderedPageBreak/>
        <w:t>Drawings, site plan, specification, engineering details and relevant reports</w:t>
      </w:r>
    </w:p>
    <w:p w14:paraId="01699850" w14:textId="77777777" w:rsidR="00173C3F" w:rsidRPr="00173C3F" w:rsidRDefault="00173C3F" w:rsidP="00173C3F">
      <w:pPr>
        <w:spacing w:beforeAutospacing="1" w:after="0" w:afterAutospacing="1" w:line="240" w:lineRule="auto"/>
        <w:rPr>
          <w:rFonts w:eastAsia="Times New Roman" w:cstheme="minorHAnsi"/>
          <w:color w:val="383838"/>
          <w:lang w:eastAsia="en-AU"/>
        </w:rPr>
      </w:pPr>
      <w:r w:rsidRPr="00173C3F">
        <w:rPr>
          <w:rFonts w:eastAsia="Times New Roman" w:cstheme="minorHAnsi"/>
          <w:b/>
          <w:bCs/>
          <w:color w:val="383838"/>
          <w:lang w:eastAsia="en-AU"/>
        </w:rPr>
        <w:t>​​​​ </w:t>
      </w:r>
      <w:r w:rsidRPr="00173C3F">
        <w:rPr>
          <w:rFonts w:eastAsia="Times New Roman" w:cstheme="minorHAnsi"/>
          <w:color w:val="383838"/>
          <w:lang w:eastAsia="en-AU"/>
        </w:rPr>
        <w:t>Two detailed hard copies (not electronic) are required for:</w:t>
      </w:r>
    </w:p>
    <w:p w14:paraId="4B04EF35" w14:textId="77777777" w:rsidR="00173C3F" w:rsidRPr="00173C3F" w:rsidRDefault="00173C3F" w:rsidP="00173C3F">
      <w:pPr>
        <w:numPr>
          <w:ilvl w:val="0"/>
          <w:numId w:val="2"/>
        </w:numPr>
        <w:spacing w:after="75" w:line="240" w:lineRule="auto"/>
        <w:ind w:left="1140" w:hanging="345"/>
        <w:rPr>
          <w:rFonts w:eastAsia="Times New Roman" w:cstheme="minorHAnsi"/>
          <w:color w:val="383838"/>
          <w:lang w:eastAsia="en-AU"/>
        </w:rPr>
      </w:pPr>
      <w:r w:rsidRPr="00173C3F">
        <w:rPr>
          <w:rFonts w:eastAsia="Times New Roman" w:cstheme="minorHAnsi"/>
          <w:color w:val="383838"/>
          <w:lang w:eastAsia="en-AU"/>
        </w:rPr>
        <w:t>Scale Drawings; 1:200 Site Plan including levels = FFL and FGL, 1:20 Sectionals, 1:100 Elevations</w:t>
      </w:r>
    </w:p>
    <w:p w14:paraId="17599C4C" w14:textId="77777777" w:rsidR="00173C3F" w:rsidRPr="00173C3F" w:rsidRDefault="00173C3F" w:rsidP="00173C3F">
      <w:pPr>
        <w:numPr>
          <w:ilvl w:val="0"/>
          <w:numId w:val="2"/>
        </w:numPr>
        <w:spacing w:before="100" w:beforeAutospacing="1" w:after="75" w:line="240" w:lineRule="auto"/>
        <w:ind w:left="1140" w:hanging="345"/>
        <w:rPr>
          <w:rFonts w:eastAsia="Times New Roman" w:cstheme="minorHAnsi"/>
          <w:color w:val="383838"/>
          <w:lang w:eastAsia="en-AU"/>
        </w:rPr>
      </w:pPr>
      <w:r w:rsidRPr="00173C3F">
        <w:rPr>
          <w:rFonts w:eastAsia="Times New Roman" w:cstheme="minorHAnsi"/>
          <w:color w:val="383838"/>
          <w:lang w:eastAsia="en-AU"/>
        </w:rPr>
        <w:t>Specifications</w:t>
      </w:r>
    </w:p>
    <w:p w14:paraId="63CDDEF5" w14:textId="77777777" w:rsidR="00173C3F" w:rsidRPr="00173C3F" w:rsidRDefault="00173C3F" w:rsidP="00173C3F">
      <w:pPr>
        <w:numPr>
          <w:ilvl w:val="0"/>
          <w:numId w:val="2"/>
        </w:numPr>
        <w:spacing w:before="100" w:beforeAutospacing="1" w:after="75" w:line="240" w:lineRule="auto"/>
        <w:ind w:left="1140" w:hanging="345"/>
        <w:rPr>
          <w:rFonts w:eastAsia="Times New Roman" w:cstheme="minorHAnsi"/>
          <w:color w:val="383838"/>
          <w:lang w:eastAsia="en-AU"/>
        </w:rPr>
      </w:pPr>
      <w:r w:rsidRPr="00173C3F">
        <w:rPr>
          <w:rFonts w:eastAsia="Times New Roman" w:cstheme="minorHAnsi"/>
          <w:color w:val="383838"/>
          <w:lang w:eastAsia="en-AU"/>
        </w:rPr>
        <w:t xml:space="preserve">Engineered details (footing, slab, </w:t>
      </w:r>
      <w:proofErr w:type="gramStart"/>
      <w:r w:rsidRPr="00173C3F">
        <w:rPr>
          <w:rFonts w:eastAsia="Times New Roman" w:cstheme="minorHAnsi"/>
          <w:color w:val="383838"/>
          <w:lang w:eastAsia="en-AU"/>
        </w:rPr>
        <w:t>wall</w:t>
      </w:r>
      <w:proofErr w:type="gramEnd"/>
      <w:r w:rsidRPr="00173C3F">
        <w:rPr>
          <w:rFonts w:eastAsia="Times New Roman" w:cstheme="minorHAnsi"/>
          <w:color w:val="383838"/>
          <w:lang w:eastAsia="en-AU"/>
        </w:rPr>
        <w:t xml:space="preserve"> and roof)</w:t>
      </w:r>
    </w:p>
    <w:p w14:paraId="6BEF448D" w14:textId="77777777" w:rsidR="00173C3F" w:rsidRPr="00173C3F" w:rsidRDefault="00173C3F" w:rsidP="00173C3F">
      <w:pPr>
        <w:numPr>
          <w:ilvl w:val="0"/>
          <w:numId w:val="2"/>
        </w:numPr>
        <w:spacing w:before="100" w:beforeAutospacing="1" w:after="75" w:line="240" w:lineRule="auto"/>
        <w:ind w:left="1140" w:hanging="345"/>
        <w:rPr>
          <w:rFonts w:eastAsia="Times New Roman" w:cstheme="minorHAnsi"/>
          <w:color w:val="383838"/>
          <w:lang w:eastAsia="en-AU"/>
        </w:rPr>
      </w:pPr>
      <w:r w:rsidRPr="00173C3F">
        <w:rPr>
          <w:rFonts w:eastAsia="Times New Roman" w:cstheme="minorHAnsi"/>
          <w:color w:val="383838"/>
          <w:lang w:eastAsia="en-AU"/>
        </w:rPr>
        <w:t>Site classification (soil type and wind classification).</w:t>
      </w:r>
    </w:p>
    <w:p w14:paraId="5525D679" w14:textId="77777777" w:rsidR="00173C3F" w:rsidRPr="00173C3F" w:rsidRDefault="00173C3F" w:rsidP="00173C3F">
      <w:pPr>
        <w:numPr>
          <w:ilvl w:val="0"/>
          <w:numId w:val="2"/>
        </w:numPr>
        <w:spacing w:beforeAutospacing="1" w:after="0" w:line="240" w:lineRule="auto"/>
        <w:ind w:left="1140" w:hanging="345"/>
        <w:rPr>
          <w:rFonts w:eastAsia="Times New Roman" w:cstheme="minorHAnsi"/>
          <w:color w:val="383838"/>
          <w:lang w:eastAsia="en-AU"/>
        </w:rPr>
      </w:pPr>
      <w:r w:rsidRPr="00173C3F">
        <w:rPr>
          <w:rFonts w:eastAsia="Times New Roman" w:cstheme="minorHAnsi"/>
          <w:color w:val="383838"/>
          <w:lang w:eastAsia="en-AU"/>
        </w:rPr>
        <w:t>Bushfire Attack Level (BAL) site assessment report – only if in </w:t>
      </w:r>
      <w:hyperlink r:id="rId8" w:tgtFrame="_blank" w:history="1">
        <w:r w:rsidRPr="00173C3F">
          <w:rPr>
            <w:rFonts w:eastAsia="Times New Roman" w:cstheme="minorHAnsi"/>
            <w:color w:val="000000"/>
            <w:u w:val="single"/>
            <w:lang w:eastAsia="en-AU"/>
          </w:rPr>
          <w:t>designated bushfire prone areas</w:t>
        </w:r>
      </w:hyperlink>
    </w:p>
    <w:p w14:paraId="27A1C689" w14:textId="77777777" w:rsidR="00173C3F" w:rsidRPr="00173C3F" w:rsidRDefault="00173C3F" w:rsidP="00173C3F">
      <w:pPr>
        <w:numPr>
          <w:ilvl w:val="0"/>
          <w:numId w:val="2"/>
        </w:numPr>
        <w:spacing w:beforeAutospacing="1" w:after="0" w:line="240" w:lineRule="auto"/>
        <w:ind w:left="1140" w:hanging="345"/>
        <w:rPr>
          <w:rFonts w:eastAsia="Times New Roman" w:cstheme="minorHAnsi"/>
          <w:color w:val="383838"/>
          <w:lang w:eastAsia="en-AU"/>
        </w:rPr>
      </w:pPr>
      <w:r w:rsidRPr="00173C3F">
        <w:rPr>
          <w:rFonts w:eastAsia="Times New Roman" w:cstheme="minorHAnsi"/>
          <w:color w:val="383838"/>
          <w:lang w:eastAsia="en-AU"/>
        </w:rPr>
        <w:t>Energy Efficiency report (BCA compliant deemed to satisfy or alternative solutions provisions). For more information refer to </w:t>
      </w:r>
      <w:hyperlink r:id="rId9" w:tgtFrame="_blank" w:history="1">
        <w:r w:rsidRPr="00173C3F">
          <w:rPr>
            <w:rFonts w:eastAsia="Times New Roman" w:cstheme="minorHAnsi"/>
            <w:color w:val="000000"/>
            <w:u w:val="single"/>
            <w:lang w:eastAsia="en-AU"/>
          </w:rPr>
          <w:t>Energy Efficiency of Residential Buildings</w:t>
        </w:r>
      </w:hyperlink>
      <w:r w:rsidRPr="00173C3F">
        <w:rPr>
          <w:rFonts w:eastAsia="Times New Roman" w:cstheme="minorHAnsi"/>
          <w:color w:val="383838"/>
          <w:lang w:eastAsia="en-AU"/>
        </w:rPr>
        <w:t>.</w:t>
      </w:r>
    </w:p>
    <w:p w14:paraId="044A42CD" w14:textId="77777777" w:rsidR="00173C3F" w:rsidRPr="00173C3F" w:rsidRDefault="00173C3F" w:rsidP="00173C3F">
      <w:pPr>
        <w:spacing w:before="100" w:beforeAutospacing="1" w:after="100" w:afterAutospacing="1" w:line="240" w:lineRule="auto"/>
        <w:rPr>
          <w:rFonts w:eastAsia="Times New Roman" w:cstheme="minorHAnsi"/>
          <w:color w:val="383838"/>
          <w:lang w:eastAsia="en-AU"/>
        </w:rPr>
      </w:pPr>
      <w:r w:rsidRPr="00173C3F">
        <w:rPr>
          <w:rFonts w:eastAsia="Times New Roman" w:cstheme="minorHAnsi"/>
          <w:color w:val="383838"/>
          <w:lang w:eastAsia="en-AU"/>
        </w:rPr>
        <w:t>Note, storm water discharge from buildings must be diverted away from structures and contained on site within the lot boundaries. Soak wells may be required on some sites at the rate of 65m2 surface area to 1m3 capacities. Where connection to Council’s stormwater system is available approval for the connection is required to be obtained from Council’s Engineering Department prior to the issue of a building permit.</w:t>
      </w:r>
    </w:p>
    <w:p w14:paraId="2FF15B76" w14:textId="77777777" w:rsidR="00173C3F" w:rsidRPr="00173C3F" w:rsidRDefault="00173C3F" w:rsidP="00173C3F">
      <w:pPr>
        <w:spacing w:after="0" w:afterAutospacing="1" w:line="288" w:lineRule="atLeast"/>
        <w:outlineLvl w:val="2"/>
        <w:rPr>
          <w:rFonts w:eastAsia="Times New Roman" w:cstheme="minorHAnsi"/>
          <w:color w:val="172C44"/>
          <w:sz w:val="24"/>
          <w:szCs w:val="24"/>
          <w:lang w:eastAsia="en-AU"/>
        </w:rPr>
      </w:pPr>
      <w:r w:rsidRPr="00173C3F">
        <w:rPr>
          <w:rFonts w:eastAsia="Times New Roman" w:cstheme="minorHAnsi"/>
          <w:b/>
          <w:bCs/>
          <w:color w:val="172C44"/>
          <w:sz w:val="24"/>
          <w:szCs w:val="24"/>
          <w:lang w:eastAsia="en-AU"/>
        </w:rPr>
        <w:t>Water Corporation approval</w:t>
      </w:r>
    </w:p>
    <w:p w14:paraId="594E7F0E" w14:textId="77777777" w:rsidR="00173C3F" w:rsidRPr="00173C3F" w:rsidRDefault="00173C3F" w:rsidP="00173C3F">
      <w:pPr>
        <w:spacing w:beforeAutospacing="1" w:after="0" w:afterAutospacing="1" w:line="240" w:lineRule="auto"/>
        <w:rPr>
          <w:rFonts w:eastAsia="Times New Roman" w:cstheme="minorHAnsi"/>
          <w:color w:val="383838"/>
          <w:lang w:eastAsia="en-AU"/>
        </w:rPr>
      </w:pPr>
      <w:r w:rsidRPr="00173C3F">
        <w:rPr>
          <w:rFonts w:eastAsia="Times New Roman" w:cstheme="minorHAnsi"/>
          <w:color w:val="383838"/>
          <w:lang w:eastAsia="en-AU"/>
        </w:rPr>
        <w:t>When building in an area serviced by Water Corporation, approval is required prior to construction. Find out about </w:t>
      </w:r>
      <w:hyperlink r:id="rId10" w:tgtFrame="_blank" w:history="1">
        <w:r w:rsidRPr="00173C3F">
          <w:rPr>
            <w:rFonts w:eastAsia="Times New Roman" w:cstheme="minorHAnsi"/>
            <w:color w:val="000000"/>
            <w:u w:val="single"/>
            <w:lang w:eastAsia="en-AU"/>
          </w:rPr>
          <w:t>Lodging a building application with Water Corporation</w:t>
        </w:r>
      </w:hyperlink>
      <w:r w:rsidRPr="00173C3F">
        <w:rPr>
          <w:rFonts w:eastAsia="Times New Roman" w:cstheme="minorHAnsi"/>
          <w:color w:val="383838"/>
          <w:lang w:eastAsia="en-AU"/>
        </w:rPr>
        <w:t>.</w:t>
      </w:r>
    </w:p>
    <w:p w14:paraId="336D16FA" w14:textId="77777777" w:rsidR="00173C3F" w:rsidRPr="00173C3F" w:rsidRDefault="00173C3F" w:rsidP="00173C3F">
      <w:pPr>
        <w:spacing w:after="0" w:afterAutospacing="1" w:line="288" w:lineRule="atLeast"/>
        <w:outlineLvl w:val="2"/>
        <w:rPr>
          <w:rFonts w:eastAsia="Times New Roman" w:cstheme="minorHAnsi"/>
          <w:color w:val="172C44"/>
          <w:sz w:val="24"/>
          <w:szCs w:val="24"/>
          <w:lang w:eastAsia="en-AU"/>
        </w:rPr>
      </w:pPr>
      <w:r w:rsidRPr="00173C3F">
        <w:rPr>
          <w:rFonts w:eastAsia="Times New Roman" w:cstheme="minorHAnsi"/>
          <w:b/>
          <w:bCs/>
          <w:color w:val="172C44"/>
          <w:sz w:val="24"/>
          <w:szCs w:val="24"/>
          <w:lang w:eastAsia="en-AU"/>
        </w:rPr>
        <w:t>BCITF levy form or payment receipt</w:t>
      </w:r>
    </w:p>
    <w:p w14:paraId="7B1734F5" w14:textId="77777777" w:rsidR="00173C3F" w:rsidRPr="00173C3F" w:rsidRDefault="00173C3F" w:rsidP="00173C3F">
      <w:pPr>
        <w:spacing w:beforeAutospacing="1" w:after="0" w:afterAutospacing="1" w:line="240" w:lineRule="auto"/>
        <w:rPr>
          <w:rFonts w:eastAsia="Times New Roman" w:cstheme="minorHAnsi"/>
          <w:color w:val="383838"/>
          <w:lang w:eastAsia="en-AU"/>
        </w:rPr>
      </w:pPr>
      <w:r w:rsidRPr="00173C3F">
        <w:rPr>
          <w:rFonts w:eastAsia="Times New Roman" w:cstheme="minorHAnsi"/>
          <w:color w:val="383838"/>
          <w:lang w:eastAsia="en-AU"/>
        </w:rPr>
        <w:t>BCITF = 0.20% of Estimated Construction Value (EVC) - applicable if ECV including GST exceeds $20,000. </w:t>
      </w:r>
      <w:hyperlink r:id="rId11" w:tgtFrame="_blank" w:history="1">
        <w:r w:rsidRPr="00173C3F">
          <w:rPr>
            <w:rFonts w:eastAsia="Times New Roman" w:cstheme="minorHAnsi"/>
            <w:color w:val="000000"/>
            <w:u w:val="single"/>
            <w:lang w:eastAsia="en-AU"/>
          </w:rPr>
          <w:t>Find out more about the BCITF levy</w:t>
        </w:r>
      </w:hyperlink>
      <w:r w:rsidRPr="00173C3F">
        <w:rPr>
          <w:rFonts w:eastAsia="Times New Roman" w:cstheme="minorHAnsi"/>
          <w:color w:val="383838"/>
          <w:lang w:eastAsia="en-AU"/>
        </w:rPr>
        <w:t>.</w:t>
      </w:r>
    </w:p>
    <w:p w14:paraId="4457876D" w14:textId="77777777" w:rsidR="00173C3F" w:rsidRPr="00173C3F" w:rsidRDefault="00173C3F" w:rsidP="00173C3F">
      <w:pPr>
        <w:spacing w:after="100" w:afterAutospacing="1" w:line="288" w:lineRule="atLeast"/>
        <w:outlineLvl w:val="1"/>
        <w:rPr>
          <w:rFonts w:eastAsia="Times New Roman" w:cstheme="minorHAnsi"/>
          <w:color w:val="172C44"/>
          <w:sz w:val="44"/>
          <w:szCs w:val="44"/>
          <w:lang w:eastAsia="en-AU"/>
        </w:rPr>
      </w:pPr>
      <w:r w:rsidRPr="00173C3F">
        <w:rPr>
          <w:rFonts w:eastAsia="Times New Roman" w:cstheme="minorHAnsi"/>
          <w:color w:val="172C44"/>
          <w:sz w:val="44"/>
          <w:szCs w:val="44"/>
          <w:lang w:eastAsia="en-AU"/>
        </w:rPr>
        <w:t xml:space="preserve">Additional information required if </w:t>
      </w:r>
      <w:proofErr w:type="gramStart"/>
      <w:r w:rsidRPr="00173C3F">
        <w:rPr>
          <w:rFonts w:eastAsia="Times New Roman" w:cstheme="minorHAnsi"/>
          <w:color w:val="172C44"/>
          <w:sz w:val="44"/>
          <w:szCs w:val="44"/>
          <w:lang w:eastAsia="en-AU"/>
        </w:rPr>
        <w:t>applicable</w:t>
      </w:r>
      <w:proofErr w:type="gramEnd"/>
    </w:p>
    <w:p w14:paraId="6CF33424" w14:textId="77777777" w:rsidR="00173C3F" w:rsidRPr="00173C3F" w:rsidRDefault="00173C3F" w:rsidP="00173C3F">
      <w:pPr>
        <w:spacing w:after="0" w:afterAutospacing="1" w:line="288" w:lineRule="atLeast"/>
        <w:outlineLvl w:val="2"/>
        <w:rPr>
          <w:rFonts w:eastAsia="Times New Roman" w:cstheme="minorHAnsi"/>
          <w:color w:val="172C44"/>
          <w:sz w:val="24"/>
          <w:szCs w:val="24"/>
          <w:lang w:eastAsia="en-AU"/>
        </w:rPr>
      </w:pPr>
      <w:r w:rsidRPr="00173C3F">
        <w:rPr>
          <w:rFonts w:eastAsia="Times New Roman" w:cstheme="minorHAnsi"/>
          <w:b/>
          <w:bCs/>
          <w:color w:val="172C44"/>
          <w:sz w:val="24"/>
          <w:szCs w:val="24"/>
          <w:lang w:eastAsia="en-AU"/>
        </w:rPr>
        <w:t>Developer’s approval</w:t>
      </w:r>
    </w:p>
    <w:p w14:paraId="49243739" w14:textId="77777777" w:rsidR="00173C3F" w:rsidRPr="00173C3F" w:rsidRDefault="00173C3F" w:rsidP="00173C3F">
      <w:pPr>
        <w:spacing w:before="100" w:beforeAutospacing="1" w:after="100" w:afterAutospacing="1" w:line="240" w:lineRule="auto"/>
        <w:rPr>
          <w:rFonts w:eastAsia="Times New Roman" w:cstheme="minorHAnsi"/>
          <w:color w:val="383838"/>
          <w:lang w:eastAsia="en-AU"/>
        </w:rPr>
      </w:pPr>
      <w:r w:rsidRPr="00173C3F">
        <w:rPr>
          <w:rFonts w:eastAsia="Times New Roman" w:cstheme="minorHAnsi"/>
          <w:color w:val="383838"/>
          <w:lang w:eastAsia="en-AU"/>
        </w:rPr>
        <w:t xml:space="preserve">Only applicable if in Kingston or </w:t>
      </w:r>
      <w:proofErr w:type="spellStart"/>
      <w:r w:rsidRPr="00173C3F">
        <w:rPr>
          <w:rFonts w:eastAsia="Times New Roman" w:cstheme="minorHAnsi"/>
          <w:color w:val="383838"/>
          <w:lang w:eastAsia="en-AU"/>
        </w:rPr>
        <w:t>Treendale</w:t>
      </w:r>
      <w:proofErr w:type="spellEnd"/>
      <w:r w:rsidRPr="00173C3F">
        <w:rPr>
          <w:rFonts w:eastAsia="Times New Roman" w:cstheme="minorHAnsi"/>
          <w:color w:val="383838"/>
          <w:lang w:eastAsia="en-AU"/>
        </w:rPr>
        <w:t xml:space="preserve"> Estate</w:t>
      </w:r>
    </w:p>
    <w:p w14:paraId="0D676026" w14:textId="77777777" w:rsidR="00173C3F" w:rsidRPr="00173C3F" w:rsidRDefault="00173C3F" w:rsidP="00173C3F">
      <w:pPr>
        <w:spacing w:after="0" w:afterAutospacing="1" w:line="288" w:lineRule="atLeast"/>
        <w:outlineLvl w:val="2"/>
        <w:rPr>
          <w:rFonts w:eastAsia="Times New Roman" w:cstheme="minorHAnsi"/>
          <w:color w:val="172C44"/>
          <w:sz w:val="24"/>
          <w:szCs w:val="24"/>
          <w:lang w:eastAsia="en-AU"/>
        </w:rPr>
      </w:pPr>
      <w:r w:rsidRPr="00173C3F">
        <w:rPr>
          <w:rFonts w:eastAsia="Times New Roman" w:cstheme="minorHAnsi"/>
          <w:b/>
          <w:bCs/>
          <w:color w:val="172C44"/>
          <w:sz w:val="24"/>
          <w:szCs w:val="24"/>
          <w:lang w:eastAsia="en-AU"/>
        </w:rPr>
        <w:t>Heritage notification proof</w:t>
      </w:r>
    </w:p>
    <w:p w14:paraId="51E04E7F" w14:textId="77777777" w:rsidR="00173C3F" w:rsidRPr="00173C3F" w:rsidRDefault="00173C3F" w:rsidP="00173C3F">
      <w:pPr>
        <w:spacing w:beforeAutospacing="1" w:after="0" w:afterAutospacing="1" w:line="240" w:lineRule="auto"/>
        <w:rPr>
          <w:rFonts w:eastAsia="Times New Roman" w:cstheme="minorHAnsi"/>
          <w:color w:val="383838"/>
          <w:lang w:eastAsia="en-AU"/>
        </w:rPr>
      </w:pPr>
      <w:r w:rsidRPr="00173C3F">
        <w:rPr>
          <w:rFonts w:eastAsia="Times New Roman" w:cstheme="minorHAnsi"/>
          <w:color w:val="383838"/>
          <w:lang w:eastAsia="en-AU"/>
        </w:rPr>
        <w:t>if applicable as per </w:t>
      </w:r>
      <w:hyperlink r:id="rId12" w:tgtFrame="_blank" w:history="1">
        <w:r w:rsidRPr="00173C3F">
          <w:rPr>
            <w:rFonts w:eastAsia="Times New Roman" w:cstheme="minorHAnsi"/>
            <w:color w:val="000000"/>
            <w:u w:val="single"/>
            <w:lang w:eastAsia="en-AU"/>
          </w:rPr>
          <w:t>Heritage Council of WA</w:t>
        </w:r>
      </w:hyperlink>
      <w:r w:rsidRPr="00173C3F">
        <w:rPr>
          <w:rFonts w:eastAsia="Times New Roman" w:cstheme="minorHAnsi"/>
          <w:color w:val="383838"/>
          <w:lang w:eastAsia="en-AU"/>
        </w:rPr>
        <w:t>.</w:t>
      </w:r>
    </w:p>
    <w:p w14:paraId="25303CEC" w14:textId="77777777" w:rsidR="00173C3F" w:rsidRPr="00173C3F" w:rsidRDefault="00173C3F" w:rsidP="00173C3F">
      <w:pPr>
        <w:spacing w:after="0" w:afterAutospacing="1" w:line="288" w:lineRule="atLeast"/>
        <w:outlineLvl w:val="2"/>
        <w:rPr>
          <w:rFonts w:eastAsia="Times New Roman" w:cstheme="minorHAnsi"/>
          <w:color w:val="172C44"/>
          <w:sz w:val="24"/>
          <w:szCs w:val="24"/>
          <w:lang w:eastAsia="en-AU"/>
        </w:rPr>
      </w:pPr>
      <w:r w:rsidRPr="00173C3F">
        <w:rPr>
          <w:rFonts w:eastAsia="Times New Roman" w:cstheme="minorHAnsi"/>
          <w:b/>
          <w:bCs/>
          <w:color w:val="172C44"/>
          <w:sz w:val="24"/>
          <w:szCs w:val="24"/>
          <w:lang w:eastAsia="en-AU"/>
        </w:rPr>
        <w:t>Bushfire Attack Level (BAL) Report</w:t>
      </w:r>
    </w:p>
    <w:p w14:paraId="469DFAF5" w14:textId="77777777" w:rsidR="00173C3F" w:rsidRPr="00173C3F" w:rsidRDefault="00173C3F" w:rsidP="00173C3F">
      <w:pPr>
        <w:spacing w:beforeAutospacing="1" w:after="0" w:afterAutospacing="1" w:line="240" w:lineRule="auto"/>
        <w:rPr>
          <w:rFonts w:eastAsia="Times New Roman" w:cstheme="minorHAnsi"/>
          <w:color w:val="383838"/>
          <w:lang w:eastAsia="en-AU"/>
        </w:rPr>
      </w:pPr>
      <w:r w:rsidRPr="00173C3F">
        <w:rPr>
          <w:rFonts w:eastAsia="Times New Roman" w:cstheme="minorHAnsi"/>
          <w:color w:val="383838"/>
          <w:lang w:eastAsia="en-AU"/>
        </w:rPr>
        <w:t>Required if building in a </w:t>
      </w:r>
      <w:hyperlink r:id="rId13" w:tgtFrame="_blank" w:history="1">
        <w:r w:rsidRPr="00173C3F">
          <w:rPr>
            <w:rFonts w:eastAsia="Times New Roman" w:cstheme="minorHAnsi"/>
            <w:color w:val="000000"/>
            <w:u w:val="single"/>
            <w:lang w:eastAsia="en-AU"/>
          </w:rPr>
          <w:t>Bushfire prone Area</w:t>
        </w:r>
      </w:hyperlink>
      <w:r w:rsidRPr="00173C3F">
        <w:rPr>
          <w:rFonts w:eastAsia="Times New Roman" w:cstheme="minorHAnsi"/>
          <w:color w:val="383838"/>
          <w:lang w:eastAsia="en-AU"/>
        </w:rPr>
        <w:t>. Include </w:t>
      </w:r>
      <w:r w:rsidRPr="00173C3F">
        <w:rPr>
          <w:rFonts w:eastAsia="Times New Roman" w:cstheme="minorHAnsi"/>
          <w:b/>
          <w:bCs/>
          <w:color w:val="383838"/>
          <w:lang w:eastAsia="en-AU"/>
        </w:rPr>
        <w:t>​</w:t>
      </w:r>
      <w:r w:rsidRPr="00173C3F">
        <w:rPr>
          <w:rFonts w:eastAsia="Times New Roman" w:cstheme="minorHAnsi"/>
          <w:color w:val="383838"/>
          <w:lang w:eastAsia="en-AU"/>
        </w:rPr>
        <w:t>relevant construction method details.</w:t>
      </w:r>
    </w:p>
    <w:p w14:paraId="35B15EF3" w14:textId="77777777" w:rsidR="00173C3F" w:rsidRPr="00173C3F" w:rsidRDefault="00173C3F" w:rsidP="00173C3F">
      <w:pPr>
        <w:spacing w:after="0" w:afterAutospacing="1" w:line="288" w:lineRule="atLeast"/>
        <w:outlineLvl w:val="2"/>
        <w:rPr>
          <w:rFonts w:eastAsia="Times New Roman" w:cstheme="minorHAnsi"/>
          <w:color w:val="172C44"/>
          <w:sz w:val="24"/>
          <w:szCs w:val="24"/>
          <w:lang w:eastAsia="en-AU"/>
        </w:rPr>
      </w:pPr>
      <w:r w:rsidRPr="00173C3F">
        <w:rPr>
          <w:rFonts w:eastAsia="Times New Roman" w:cstheme="minorHAnsi"/>
          <w:b/>
          <w:bCs/>
          <w:color w:val="172C44"/>
          <w:sz w:val="24"/>
          <w:szCs w:val="24"/>
          <w:lang w:eastAsia="en-AU"/>
        </w:rPr>
        <w:t xml:space="preserve">BA20 Form – Work affecting other </w:t>
      </w:r>
      <w:proofErr w:type="gramStart"/>
      <w:r w:rsidRPr="00173C3F">
        <w:rPr>
          <w:rFonts w:eastAsia="Times New Roman" w:cstheme="minorHAnsi"/>
          <w:b/>
          <w:bCs/>
          <w:color w:val="172C44"/>
          <w:sz w:val="24"/>
          <w:szCs w:val="24"/>
          <w:lang w:eastAsia="en-AU"/>
        </w:rPr>
        <w:t>land</w:t>
      </w:r>
      <w:proofErr w:type="gramEnd"/>
    </w:p>
    <w:p w14:paraId="709450DD" w14:textId="77777777" w:rsidR="00173C3F" w:rsidRPr="00173C3F" w:rsidRDefault="00173C3F" w:rsidP="00173C3F">
      <w:pPr>
        <w:spacing w:before="100" w:beforeAutospacing="1" w:after="100" w:afterAutospacing="1" w:line="240" w:lineRule="auto"/>
        <w:rPr>
          <w:rFonts w:eastAsia="Times New Roman" w:cstheme="minorHAnsi"/>
          <w:color w:val="383838"/>
          <w:lang w:eastAsia="en-AU"/>
        </w:rPr>
      </w:pPr>
      <w:r w:rsidRPr="00173C3F">
        <w:rPr>
          <w:rFonts w:eastAsia="Times New Roman" w:cstheme="minorHAnsi"/>
          <w:color w:val="383838"/>
          <w:lang w:eastAsia="en-AU"/>
        </w:rPr>
        <w:t xml:space="preserve">Required if the proposed works show encroachment on adjoining </w:t>
      </w:r>
      <w:proofErr w:type="gramStart"/>
      <w:r w:rsidRPr="00173C3F">
        <w:rPr>
          <w:rFonts w:eastAsia="Times New Roman" w:cstheme="minorHAnsi"/>
          <w:color w:val="383838"/>
          <w:lang w:eastAsia="en-AU"/>
        </w:rPr>
        <w:t>land, or</w:t>
      </w:r>
      <w:proofErr w:type="gramEnd"/>
      <w:r w:rsidRPr="00173C3F">
        <w:rPr>
          <w:rFonts w:eastAsia="Times New Roman" w:cstheme="minorHAnsi"/>
          <w:color w:val="383838"/>
          <w:lang w:eastAsia="en-AU"/>
        </w:rPr>
        <w:t xml:space="preserve"> works that will adversely affect an adjoining property. Neighbours’ consent is required prior to issue of the Building Permit. </w:t>
      </w:r>
    </w:p>
    <w:p w14:paraId="04EF1E28" w14:textId="77777777" w:rsidR="00173C3F" w:rsidRPr="00173C3F" w:rsidRDefault="00173C3F" w:rsidP="00173C3F">
      <w:pPr>
        <w:spacing w:beforeAutospacing="1" w:after="0" w:afterAutospacing="1" w:line="240" w:lineRule="auto"/>
        <w:rPr>
          <w:rFonts w:eastAsia="Times New Roman" w:cstheme="minorHAnsi"/>
          <w:color w:val="383838"/>
          <w:lang w:eastAsia="en-AU"/>
        </w:rPr>
      </w:pPr>
      <w:hyperlink r:id="rId14" w:tgtFrame="_blank" w:history="1">
        <w:r w:rsidRPr="00173C3F">
          <w:rPr>
            <w:rFonts w:eastAsia="Times New Roman" w:cstheme="minorHAnsi"/>
            <w:color w:val="000000"/>
            <w:u w:val="single"/>
            <w:lang w:eastAsia="en-AU"/>
          </w:rPr>
          <w:t>Access BA20 form: Notice and request for consent to encroach or adversely affect</w:t>
        </w:r>
      </w:hyperlink>
      <w:r w:rsidRPr="00173C3F">
        <w:rPr>
          <w:rFonts w:eastAsia="Times New Roman" w:cstheme="minorHAnsi"/>
          <w:color w:val="383838"/>
          <w:lang w:eastAsia="en-AU"/>
        </w:rPr>
        <w:t> (available on the Department of Mines, Industry Regulation and Safety website).</w:t>
      </w:r>
    </w:p>
    <w:p w14:paraId="64649F59" w14:textId="77777777" w:rsidR="00173C3F" w:rsidRPr="00173C3F" w:rsidRDefault="00173C3F" w:rsidP="00173C3F">
      <w:pPr>
        <w:spacing w:after="0" w:afterAutospacing="1" w:line="288" w:lineRule="atLeast"/>
        <w:outlineLvl w:val="2"/>
        <w:rPr>
          <w:rFonts w:eastAsia="Times New Roman" w:cstheme="minorHAnsi"/>
          <w:color w:val="172C44"/>
          <w:sz w:val="24"/>
          <w:szCs w:val="24"/>
          <w:lang w:eastAsia="en-AU"/>
        </w:rPr>
      </w:pPr>
      <w:r w:rsidRPr="00173C3F">
        <w:rPr>
          <w:rFonts w:eastAsia="Times New Roman" w:cstheme="minorHAnsi"/>
          <w:b/>
          <w:bCs/>
          <w:color w:val="172C44"/>
          <w:sz w:val="24"/>
          <w:szCs w:val="24"/>
          <w:lang w:eastAsia="en-AU"/>
        </w:rPr>
        <w:t xml:space="preserve">BA20A Form – Work affecting other land – access </w:t>
      </w:r>
      <w:proofErr w:type="gramStart"/>
      <w:r w:rsidRPr="00173C3F">
        <w:rPr>
          <w:rFonts w:eastAsia="Times New Roman" w:cstheme="minorHAnsi"/>
          <w:b/>
          <w:bCs/>
          <w:color w:val="172C44"/>
          <w:sz w:val="24"/>
          <w:szCs w:val="24"/>
          <w:lang w:eastAsia="en-AU"/>
        </w:rPr>
        <w:t>only</w:t>
      </w:r>
      <w:proofErr w:type="gramEnd"/>
    </w:p>
    <w:p w14:paraId="034209BA" w14:textId="77777777" w:rsidR="00173C3F" w:rsidRPr="00173C3F" w:rsidRDefault="00173C3F" w:rsidP="00173C3F">
      <w:pPr>
        <w:spacing w:before="100" w:beforeAutospacing="1" w:after="100" w:afterAutospacing="1" w:line="240" w:lineRule="auto"/>
        <w:rPr>
          <w:rFonts w:eastAsia="Times New Roman" w:cstheme="minorHAnsi"/>
          <w:color w:val="383838"/>
          <w:lang w:eastAsia="en-AU"/>
        </w:rPr>
      </w:pPr>
      <w:r w:rsidRPr="00173C3F">
        <w:rPr>
          <w:rFonts w:eastAsia="Times New Roman" w:cstheme="minorHAnsi"/>
          <w:color w:val="383838"/>
          <w:lang w:eastAsia="en-AU"/>
        </w:rPr>
        <w:t>Required if the proposed works involve removing a fence/working on boundary requiring access to neighbour’s land etc. the Builder/Owner is to obtain neighbours consent prior to works commencing. </w:t>
      </w:r>
    </w:p>
    <w:p w14:paraId="177BE9BB" w14:textId="77777777" w:rsidR="00173C3F" w:rsidRPr="00173C3F" w:rsidRDefault="00173C3F" w:rsidP="00173C3F">
      <w:pPr>
        <w:spacing w:beforeAutospacing="1" w:after="0" w:afterAutospacing="1" w:line="240" w:lineRule="auto"/>
        <w:rPr>
          <w:rFonts w:eastAsia="Times New Roman" w:cstheme="minorHAnsi"/>
          <w:color w:val="383838"/>
          <w:lang w:eastAsia="en-AU"/>
        </w:rPr>
      </w:pPr>
      <w:hyperlink r:id="rId15" w:tgtFrame="_blank" w:history="1">
        <w:r w:rsidRPr="00173C3F">
          <w:rPr>
            <w:rFonts w:eastAsia="Times New Roman" w:cstheme="minorHAnsi"/>
            <w:color w:val="000000"/>
            <w:u w:val="single"/>
            <w:lang w:eastAsia="en-AU"/>
          </w:rPr>
          <w:t>Access BA20A form – Notice and request for consent (response notice): Protection structures, party walls, removal of fences, access to land</w:t>
        </w:r>
      </w:hyperlink>
      <w:r w:rsidRPr="00173C3F">
        <w:rPr>
          <w:rFonts w:eastAsia="Times New Roman" w:cstheme="minorHAnsi"/>
          <w:color w:val="383838"/>
          <w:lang w:eastAsia="en-AU"/>
        </w:rPr>
        <w:t> (available on the Department of Mines, Industry Regulation and Safety website).</w:t>
      </w:r>
    </w:p>
    <w:p w14:paraId="07C27784" w14:textId="77777777" w:rsidR="00173C3F" w:rsidRPr="00173C3F" w:rsidRDefault="00173C3F" w:rsidP="00173C3F">
      <w:pPr>
        <w:spacing w:after="0" w:afterAutospacing="1" w:line="288" w:lineRule="atLeast"/>
        <w:outlineLvl w:val="2"/>
        <w:rPr>
          <w:rFonts w:eastAsia="Times New Roman" w:cstheme="minorHAnsi"/>
          <w:color w:val="172C44"/>
          <w:sz w:val="24"/>
          <w:szCs w:val="24"/>
          <w:lang w:eastAsia="en-AU"/>
        </w:rPr>
      </w:pPr>
      <w:r w:rsidRPr="00173C3F">
        <w:rPr>
          <w:rFonts w:eastAsia="Times New Roman" w:cstheme="minorHAnsi"/>
          <w:b/>
          <w:bCs/>
          <w:color w:val="172C44"/>
          <w:sz w:val="24"/>
          <w:szCs w:val="24"/>
          <w:lang w:eastAsia="en-AU"/>
        </w:rPr>
        <w:t>Planning approval</w:t>
      </w:r>
    </w:p>
    <w:p w14:paraId="4A6FBF7F" w14:textId="77777777" w:rsidR="00173C3F" w:rsidRPr="00173C3F" w:rsidRDefault="00173C3F" w:rsidP="00173C3F">
      <w:pPr>
        <w:spacing w:before="100" w:beforeAutospacing="1" w:after="100" w:afterAutospacing="1" w:line="240" w:lineRule="auto"/>
        <w:rPr>
          <w:rFonts w:eastAsia="Times New Roman" w:cstheme="minorHAnsi"/>
          <w:color w:val="383838"/>
          <w:lang w:eastAsia="en-AU"/>
        </w:rPr>
      </w:pPr>
      <w:r w:rsidRPr="00173C3F">
        <w:rPr>
          <w:rFonts w:eastAsia="Times New Roman" w:cstheme="minorHAnsi"/>
          <w:color w:val="383838"/>
          <w:lang w:eastAsia="en-AU"/>
        </w:rPr>
        <w:t>Also referred to as a DA or development application, planning approval is required for grouped dwellings (in excess of three), codes variations (reduced boundary setbacks or over size etc), and/or if the District Planning Scheme (DPS) requires, such as buildings in a landscape protection area etc.</w:t>
      </w:r>
    </w:p>
    <w:p w14:paraId="3C123BFC" w14:textId="77777777" w:rsidR="00173C3F" w:rsidRPr="00173C3F" w:rsidRDefault="00173C3F" w:rsidP="00173C3F">
      <w:pPr>
        <w:spacing w:beforeAutospacing="1" w:after="0" w:afterAutospacing="1" w:line="240" w:lineRule="auto"/>
        <w:rPr>
          <w:rFonts w:eastAsia="Times New Roman" w:cstheme="minorHAnsi"/>
          <w:color w:val="383838"/>
          <w:lang w:eastAsia="en-AU"/>
        </w:rPr>
      </w:pPr>
      <w:r w:rsidRPr="00173C3F">
        <w:rPr>
          <w:rFonts w:eastAsia="Times New Roman" w:cstheme="minorHAnsi"/>
          <w:color w:val="383838"/>
          <w:lang w:eastAsia="en-AU"/>
        </w:rPr>
        <w:t>For more information refer to the </w:t>
      </w:r>
      <w:hyperlink r:id="rId16" w:tgtFrame="_blank" w:history="1">
        <w:r w:rsidRPr="00173C3F">
          <w:rPr>
            <w:rFonts w:eastAsia="Times New Roman" w:cstheme="minorHAnsi"/>
            <w:color w:val="000000"/>
            <w:u w:val="single"/>
            <w:lang w:eastAsia="en-AU"/>
          </w:rPr>
          <w:t>R Codes - State Planning Policy</w:t>
        </w:r>
      </w:hyperlink>
      <w:r w:rsidRPr="00173C3F">
        <w:rPr>
          <w:rFonts w:eastAsia="Times New Roman" w:cstheme="minorHAnsi"/>
          <w:color w:val="383838"/>
          <w:lang w:eastAsia="en-AU"/>
        </w:rPr>
        <w:t> and the Shire of Harvey’s Outbuildings Policy (see below).</w:t>
      </w:r>
    </w:p>
    <w:p w14:paraId="22940C03" w14:textId="77777777" w:rsidR="00173C3F" w:rsidRPr="00173C3F" w:rsidRDefault="00173C3F" w:rsidP="00173C3F">
      <w:pPr>
        <w:spacing w:after="0" w:afterAutospacing="1" w:line="288" w:lineRule="atLeast"/>
        <w:outlineLvl w:val="2"/>
        <w:rPr>
          <w:rFonts w:eastAsia="Times New Roman" w:cstheme="minorHAnsi"/>
          <w:color w:val="172C44"/>
          <w:sz w:val="24"/>
          <w:szCs w:val="24"/>
          <w:lang w:eastAsia="en-AU"/>
        </w:rPr>
      </w:pPr>
      <w:r w:rsidRPr="00173C3F">
        <w:rPr>
          <w:rFonts w:eastAsia="Times New Roman" w:cstheme="minorHAnsi"/>
          <w:b/>
          <w:bCs/>
          <w:color w:val="172C44"/>
          <w:sz w:val="24"/>
          <w:szCs w:val="24"/>
          <w:lang w:eastAsia="en-AU"/>
        </w:rPr>
        <w:t>Septic application</w:t>
      </w:r>
    </w:p>
    <w:p w14:paraId="249DA449" w14:textId="77777777" w:rsidR="00173C3F" w:rsidRPr="00173C3F" w:rsidRDefault="00173C3F" w:rsidP="00173C3F">
      <w:pPr>
        <w:spacing w:before="100" w:beforeAutospacing="1" w:after="0" w:line="240" w:lineRule="auto"/>
        <w:rPr>
          <w:rFonts w:eastAsia="Times New Roman" w:cstheme="minorHAnsi"/>
          <w:color w:val="383838"/>
          <w:lang w:eastAsia="en-AU"/>
        </w:rPr>
      </w:pPr>
      <w:r w:rsidRPr="00173C3F">
        <w:rPr>
          <w:rFonts w:eastAsia="Times New Roman" w:cstheme="minorHAnsi"/>
          <w:color w:val="383838"/>
          <w:lang w:eastAsia="en-AU"/>
        </w:rPr>
        <w:t>If applicable, complete the application form below and submit with payment to the Shire.</w:t>
      </w:r>
    </w:p>
    <w:p w14:paraId="64F2CEA1" w14:textId="77777777" w:rsidR="00437945" w:rsidRPr="00173C3F" w:rsidRDefault="00437945">
      <w:pPr>
        <w:rPr>
          <w:rFonts w:cstheme="minorHAnsi"/>
          <w:sz w:val="20"/>
          <w:szCs w:val="20"/>
        </w:rPr>
      </w:pPr>
    </w:p>
    <w:sectPr w:rsidR="00437945" w:rsidRPr="00173C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F31EC"/>
    <w:multiLevelType w:val="multilevel"/>
    <w:tmpl w:val="C6CA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7D10F6"/>
    <w:multiLevelType w:val="multilevel"/>
    <w:tmpl w:val="A6F6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C3F"/>
    <w:rsid w:val="00173C3F"/>
    <w:rsid w:val="004379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C1B7B"/>
  <w15:chartTrackingRefBased/>
  <w15:docId w15:val="{773083AF-0BC9-42C8-86ED-9EBC6268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73C3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173C3F"/>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3C3F"/>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173C3F"/>
    <w:rPr>
      <w:rFonts w:ascii="Times New Roman" w:eastAsia="Times New Roman" w:hAnsi="Times New Roman" w:cs="Times New Roman"/>
      <w:b/>
      <w:bCs/>
      <w:sz w:val="27"/>
      <w:szCs w:val="27"/>
      <w:lang w:eastAsia="en-AU"/>
    </w:rPr>
  </w:style>
  <w:style w:type="character" w:styleId="Emphasis">
    <w:name w:val="Emphasis"/>
    <w:basedOn w:val="DefaultParagraphFont"/>
    <w:uiPriority w:val="20"/>
    <w:qFormat/>
    <w:rsid w:val="00173C3F"/>
    <w:rPr>
      <w:i/>
      <w:iCs/>
    </w:rPr>
  </w:style>
  <w:style w:type="paragraph" w:styleId="NormalWeb">
    <w:name w:val="Normal (Web)"/>
    <w:basedOn w:val="Normal"/>
    <w:uiPriority w:val="99"/>
    <w:semiHidden/>
    <w:unhideWhenUsed/>
    <w:rsid w:val="00173C3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73C3F"/>
    <w:rPr>
      <w:b/>
      <w:bCs/>
    </w:rPr>
  </w:style>
  <w:style w:type="character" w:styleId="Hyperlink">
    <w:name w:val="Hyperlink"/>
    <w:basedOn w:val="DefaultParagraphFont"/>
    <w:uiPriority w:val="99"/>
    <w:semiHidden/>
    <w:unhideWhenUsed/>
    <w:rsid w:val="00173C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23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erce.wa.gov.au/building-and-energy/building-designated-bush-fire-prone-areas" TargetMode="External"/><Relationship Id="rId13" Type="http://schemas.openxmlformats.org/officeDocument/2006/relationships/hyperlink" Target="https://maps.slip.wa.gov.au/landgate/bushfirepron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mmerce.wa.gov.au/building-and-energy/owner-builder-application" TargetMode="External"/><Relationship Id="rId12" Type="http://schemas.openxmlformats.org/officeDocument/2006/relationships/hyperlink" Target="http://www.stateheritage.wa.gov.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plh.wa.gov.au/rcodes" TargetMode="External"/><Relationship Id="rId1" Type="http://schemas.openxmlformats.org/officeDocument/2006/relationships/numbering" Target="numbering.xml"/><Relationship Id="rId6" Type="http://schemas.openxmlformats.org/officeDocument/2006/relationships/hyperlink" Target="https://www.commerce.wa.gov.au/publications/home-indemnity-insurance" TargetMode="External"/><Relationship Id="rId11" Type="http://schemas.openxmlformats.org/officeDocument/2006/relationships/hyperlink" Target="https://ctf.wa.gov.au/industry/bcitf-levy/" TargetMode="External"/><Relationship Id="rId5" Type="http://schemas.openxmlformats.org/officeDocument/2006/relationships/hyperlink" Target="https://www.commerce.wa.gov.au/building-commission/building-approval-forms-0" TargetMode="External"/><Relationship Id="rId15" Type="http://schemas.openxmlformats.org/officeDocument/2006/relationships/hyperlink" Target="https://www.commerce.wa.gov.au/publications/ba20a-notice-and-request-consent-response-notice-protection-structures-party-walls" TargetMode="External"/><Relationship Id="rId10" Type="http://schemas.openxmlformats.org/officeDocument/2006/relationships/hyperlink" Target="https://www.watercorporation.com.au/Developing-and-building/Building/Lodging-a-building-application" TargetMode="External"/><Relationship Id="rId4" Type="http://schemas.openxmlformats.org/officeDocument/2006/relationships/webSettings" Target="webSettings.xml"/><Relationship Id="rId9" Type="http://schemas.openxmlformats.org/officeDocument/2006/relationships/hyperlink" Target="https://www.commerce.wa.gov.au/building-and-energy/energy-efficiency-residential-buildings" TargetMode="External"/><Relationship Id="rId14" Type="http://schemas.openxmlformats.org/officeDocument/2006/relationships/hyperlink" Target="https://www.commerce.wa.gov.au/publications/ba20-notice-and-request-consent-encroach-or-adversely-aff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913</Words>
  <Characters>5210</Characters>
  <Application>Microsoft Office Word</Application>
  <DocSecurity>0</DocSecurity>
  <Lines>43</Lines>
  <Paragraphs>12</Paragraphs>
  <ScaleCrop>false</ScaleCrop>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Herrington</dc:creator>
  <cp:keywords/>
  <dc:description/>
  <cp:lastModifiedBy>Jennie Herrington</cp:lastModifiedBy>
  <cp:revision>1</cp:revision>
  <dcterms:created xsi:type="dcterms:W3CDTF">2021-07-07T01:50:00Z</dcterms:created>
  <dcterms:modified xsi:type="dcterms:W3CDTF">2021-07-07T01:51:00Z</dcterms:modified>
</cp:coreProperties>
</file>