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CBB4" w14:textId="77777777" w:rsidR="003B12D0" w:rsidRPr="003B12D0" w:rsidRDefault="003B12D0" w:rsidP="003B12D0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Important notes</w:t>
      </w:r>
    </w:p>
    <w:p w14:paraId="556699DF" w14:textId="77777777" w:rsidR="003B12D0" w:rsidRPr="003B12D0" w:rsidRDefault="003B12D0" w:rsidP="003B12D0">
      <w:pPr>
        <w:numPr>
          <w:ilvl w:val="0"/>
          <w:numId w:val="1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Applications submitted without all of the applicable items listed below, will not be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accepted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and will be returned.</w:t>
      </w:r>
    </w:p>
    <w:p w14:paraId="5C29E5EA" w14:textId="77777777" w:rsidR="003B12D0" w:rsidRPr="003B12D0" w:rsidRDefault="003B12D0" w:rsidP="003B12D0">
      <w:pPr>
        <w:numPr>
          <w:ilvl w:val="0"/>
          <w:numId w:val="1"/>
        </w:numPr>
        <w:spacing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The </w:t>
      </w:r>
      <w:r w:rsidRPr="003B12D0">
        <w:rPr>
          <w:rFonts w:eastAsia="Times New Roman" w:cstheme="minorHAnsi"/>
          <w:i/>
          <w:iCs/>
          <w:color w:val="383838"/>
          <w:sz w:val="24"/>
          <w:szCs w:val="24"/>
          <w:lang w:eastAsia="en-AU"/>
        </w:rPr>
        <w:t>Building Act 2011</w:t>
      </w: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requires that all applicable approvals, including planning approval, are obtained prior to lodgement of a building permit application.</w:t>
      </w:r>
    </w:p>
    <w:p w14:paraId="4E661D0C" w14:textId="77777777" w:rsidR="003B12D0" w:rsidRPr="003B12D0" w:rsidRDefault="003B12D0" w:rsidP="003B12D0">
      <w:pPr>
        <w:numPr>
          <w:ilvl w:val="0"/>
          <w:numId w:val="1"/>
        </w:numPr>
        <w:spacing w:before="100"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This list is not a complete list of all requirements but is a general guide of the minimum information required.</w:t>
      </w:r>
    </w:p>
    <w:p w14:paraId="3E75236F" w14:textId="77777777" w:rsidR="003B12D0" w:rsidRPr="003B12D0" w:rsidRDefault="003B12D0" w:rsidP="003B12D0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Class definitions</w:t>
      </w:r>
    </w:p>
    <w:p w14:paraId="2EDD3D81" w14:textId="77777777" w:rsidR="003B12D0" w:rsidRPr="003B12D0" w:rsidRDefault="003B12D0" w:rsidP="003B12D0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Class 10a</w:t>
      </w:r>
    </w:p>
    <w:p w14:paraId="788D5214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Residential outbuilding, shed, patio, carport, garage,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pergola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or timber deck (&gt;0.5m high or in Bushfire Prone area). Note: shade cloth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covered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and open frame pergolas and shade sails less than 20m2 in floor area and less than 2.4m high generally don’t require a building permit.</w:t>
      </w:r>
    </w:p>
    <w:p w14:paraId="6092CFC3" w14:textId="77777777" w:rsidR="003B12D0" w:rsidRPr="003B12D0" w:rsidRDefault="003B12D0" w:rsidP="003B12D0">
      <w:pPr>
        <w:spacing w:after="10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Class 10b</w:t>
      </w:r>
    </w:p>
    <w:p w14:paraId="7B394779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Swimming Pool/Spa (&gt;300mm depth), Retaining Wall (&gt;500mm high), Masonry Fence (&gt;750mm high), Other Fencing, Screening (&gt;1.8m high), Water Storage Tanks (&gt;5000L capacity), Signs, Masts, </w:t>
      </w:r>
      <w:proofErr w:type="spell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Soakwells</w:t>
      </w:r>
      <w:proofErr w:type="spell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, Solar Panels (Fitted to Class 2-9 buildings). Note: 10b structures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don’t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require a registered builder.</w:t>
      </w:r>
    </w:p>
    <w:p w14:paraId="5F77F2C7" w14:textId="77777777" w:rsidR="003B12D0" w:rsidRPr="003B12D0" w:rsidRDefault="003B12D0" w:rsidP="003B12D0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Information required (mandatory)</w:t>
      </w:r>
    </w:p>
    <w:p w14:paraId="17A9A605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Building approval forms</w:t>
      </w:r>
    </w:p>
    <w:p w14:paraId="6252CC9B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Form BA1 Certified Building Application and Form BA3 Certificate of Design Compliance (issued by a private Registered Building Surveyor Contractor).  </w:t>
      </w:r>
    </w:p>
    <w:p w14:paraId="1D803864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Note, all the plans and documents listed on the Certificate of Design Compliance must be submitted with the application.</w:t>
      </w:r>
    </w:p>
    <w:p w14:paraId="5B002540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</w:t>
      </w:r>
      <w:hyperlink r:id="rId5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Access forms BA1 and BA3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(available on the Department of Mines, Industry Regulation and Safety website).</w:t>
      </w:r>
    </w:p>
    <w:p w14:paraId="2FA1E8AF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Drawings, site plan, specification, engineering details and relevant reports</w:t>
      </w:r>
    </w:p>
    <w:p w14:paraId="716852A5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Two detailed hard copies (not electronic) are required for:</w:t>
      </w:r>
    </w:p>
    <w:p w14:paraId="4A37724F" w14:textId="77777777" w:rsidR="003B12D0" w:rsidRPr="003B12D0" w:rsidRDefault="003B12D0" w:rsidP="003B12D0">
      <w:pPr>
        <w:numPr>
          <w:ilvl w:val="0"/>
          <w:numId w:val="2"/>
        </w:numPr>
        <w:spacing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1:200 scale site plan</w:t>
      </w:r>
    </w:p>
    <w:p w14:paraId="4C292FF8" w14:textId="77777777" w:rsidR="003B12D0" w:rsidRPr="003B12D0" w:rsidRDefault="003B12D0" w:rsidP="003B12D0">
      <w:pPr>
        <w:numPr>
          <w:ilvl w:val="0"/>
          <w:numId w:val="2"/>
        </w:numPr>
        <w:spacing w:before="100"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1:20 scale sectional drawings</w:t>
      </w:r>
    </w:p>
    <w:p w14:paraId="63220CD1" w14:textId="77777777" w:rsidR="003B12D0" w:rsidRPr="003B12D0" w:rsidRDefault="003B12D0" w:rsidP="003B12D0">
      <w:pPr>
        <w:numPr>
          <w:ilvl w:val="0"/>
          <w:numId w:val="2"/>
        </w:numPr>
        <w:spacing w:before="100"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1:100 scale elevations</w:t>
      </w:r>
    </w:p>
    <w:p w14:paraId="2C5291F5" w14:textId="77777777" w:rsidR="003B12D0" w:rsidRPr="003B12D0" w:rsidRDefault="003B12D0" w:rsidP="003B12D0">
      <w:pPr>
        <w:numPr>
          <w:ilvl w:val="0"/>
          <w:numId w:val="2"/>
        </w:numPr>
        <w:spacing w:before="100" w:beforeAutospacing="1" w:after="75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Specifications</w:t>
      </w:r>
    </w:p>
    <w:p w14:paraId="76B62A49" w14:textId="77777777" w:rsidR="003B12D0" w:rsidRPr="003B12D0" w:rsidRDefault="003B12D0" w:rsidP="003B12D0">
      <w:pPr>
        <w:numPr>
          <w:ilvl w:val="0"/>
          <w:numId w:val="2"/>
        </w:numPr>
        <w:spacing w:before="100" w:beforeAutospacing="1" w:after="0" w:line="240" w:lineRule="auto"/>
        <w:ind w:left="1140" w:hanging="345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Engineering details.</w:t>
      </w:r>
    </w:p>
    <w:p w14:paraId="45811AE5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lastRenderedPageBreak/>
        <w:t>Water Corporation approval</w:t>
      </w:r>
    </w:p>
    <w:p w14:paraId="04F19E15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When building in an area serviced by Water Corporation, approval is required prior to construction. Find out about </w:t>
      </w:r>
      <w:hyperlink r:id="rId6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Lodging a building application with Water Corporation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.</w:t>
      </w:r>
    </w:p>
    <w:p w14:paraId="444A4BC5" w14:textId="77777777" w:rsidR="003B12D0" w:rsidRPr="003B12D0" w:rsidRDefault="003B12D0" w:rsidP="003B12D0">
      <w:pPr>
        <w:spacing w:after="100" w:afterAutospacing="1" w:line="288" w:lineRule="atLeast"/>
        <w:outlineLvl w:val="1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 xml:space="preserve">Additional information required if </w:t>
      </w:r>
      <w:proofErr w:type="gramStart"/>
      <w:r w:rsidRPr="003B12D0">
        <w:rPr>
          <w:rFonts w:eastAsia="Times New Roman" w:cstheme="minorHAnsi"/>
          <w:color w:val="172C44"/>
          <w:sz w:val="24"/>
          <w:szCs w:val="24"/>
          <w:lang w:eastAsia="en-AU"/>
        </w:rPr>
        <w:t>applicable</w:t>
      </w:r>
      <w:proofErr w:type="gramEnd"/>
    </w:p>
    <w:p w14:paraId="71498A9F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Builder’s registration details or Owner Builder’s Licence</w:t>
      </w:r>
    </w:p>
    <w:p w14:paraId="2D57EF99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Required if estimated construction value is over $20,000 for class 10a structures only. Class 10b structures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don’t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require a registered builder. Exemptions can apply for rural locations.</w:t>
      </w:r>
    </w:p>
    <w:p w14:paraId="218F818C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hyperlink r:id="rId7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Access form 75 Owner Builder Application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(available on the Department of Mines, Industry Regulation and Safety website).</w:t>
      </w:r>
    </w:p>
    <w:p w14:paraId="19699DD8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 xml:space="preserve">BA20 Form – Work affecting other </w:t>
      </w:r>
      <w:proofErr w:type="gramStart"/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land</w:t>
      </w:r>
      <w:proofErr w:type="gramEnd"/>
    </w:p>
    <w:p w14:paraId="03D933F9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Required if the proposed works show encroachment on adjoining </w:t>
      </w:r>
      <w:proofErr w:type="gramStart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land, or</w:t>
      </w:r>
      <w:proofErr w:type="gramEnd"/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 xml:space="preserve"> works that will adversely affect an adjoining property. Neighbours’ consent is required prior to issue of the Building Permit. </w:t>
      </w:r>
    </w:p>
    <w:p w14:paraId="3EAB9C64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hyperlink r:id="rId8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Access BA20 form: Notice and request for consent to encroach or adversely affect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(available on the Department of Mines, Industry Regulation and Safety website).</w:t>
      </w:r>
    </w:p>
    <w:p w14:paraId="589B865D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 xml:space="preserve">BA20A Form – Work affecting other land – access </w:t>
      </w:r>
      <w:proofErr w:type="gramStart"/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only</w:t>
      </w:r>
      <w:proofErr w:type="gramEnd"/>
    </w:p>
    <w:p w14:paraId="617E760D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Required if the proposed works involve removing a fence/working on boundary requiring access to neighbour’s land etc. the Builder/Owner is to obtain neighbours consent prior to works commencing. </w:t>
      </w:r>
    </w:p>
    <w:p w14:paraId="4B83A983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hyperlink r:id="rId9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Access BA20A form – Notice and request for consent (response notice): Protection structures, party walls, removal of fences, access to land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(available on the Department of Mines, Industry Regulation and Safety website).</w:t>
      </w:r>
    </w:p>
    <w:p w14:paraId="150AE9CC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BCITF levy form or payment receipt</w:t>
      </w:r>
    </w:p>
    <w:p w14:paraId="5EB7FD77" w14:textId="77777777" w:rsidR="003B12D0" w:rsidRPr="003B12D0" w:rsidRDefault="003B12D0" w:rsidP="003B12D0">
      <w:pPr>
        <w:spacing w:beforeAutospacing="1" w:after="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BCITF = 0.20% of Estimated Construction Value (EVC) - applicable if ECV including GST exceeds $20,000. </w:t>
      </w:r>
      <w:hyperlink r:id="rId10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Find out more about the BCITF levy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.</w:t>
      </w:r>
    </w:p>
    <w:p w14:paraId="5383AD93" w14:textId="77777777" w:rsidR="003B12D0" w:rsidRPr="003B12D0" w:rsidRDefault="003B12D0" w:rsidP="003B12D0">
      <w:pPr>
        <w:spacing w:after="0" w:afterAutospacing="1" w:line="288" w:lineRule="atLeast"/>
        <w:outlineLvl w:val="2"/>
        <w:rPr>
          <w:rFonts w:eastAsia="Times New Roman" w:cstheme="minorHAnsi"/>
          <w:color w:val="172C44"/>
          <w:sz w:val="24"/>
          <w:szCs w:val="24"/>
          <w:lang w:eastAsia="en-AU"/>
        </w:rPr>
      </w:pPr>
      <w:r w:rsidRPr="003B12D0">
        <w:rPr>
          <w:rFonts w:eastAsia="Times New Roman" w:cstheme="minorHAnsi"/>
          <w:b/>
          <w:bCs/>
          <w:color w:val="172C44"/>
          <w:sz w:val="24"/>
          <w:szCs w:val="24"/>
          <w:lang w:eastAsia="en-AU"/>
        </w:rPr>
        <w:t>Planning approval</w:t>
      </w:r>
    </w:p>
    <w:p w14:paraId="7DA6B717" w14:textId="77777777" w:rsidR="003B12D0" w:rsidRPr="003B12D0" w:rsidRDefault="003B12D0" w:rsidP="003B12D0">
      <w:pPr>
        <w:spacing w:before="100" w:beforeAutospacing="1" w:after="100" w:afterAutospacing="1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Also referred to as a DA or development application, planning approval is required for grouped dwellings (in excess of three), codes variations (reduced boundary setbacks or over size etc), and/or if the District Planning Scheme (DPS) requires, such as buildings in a landscape protection area etc.</w:t>
      </w:r>
    </w:p>
    <w:p w14:paraId="7FCAF3A0" w14:textId="77777777" w:rsidR="003B12D0" w:rsidRPr="003B12D0" w:rsidRDefault="003B12D0" w:rsidP="003B12D0">
      <w:pPr>
        <w:spacing w:beforeAutospacing="1" w:after="0" w:line="240" w:lineRule="auto"/>
        <w:rPr>
          <w:rFonts w:eastAsia="Times New Roman" w:cstheme="minorHAnsi"/>
          <w:color w:val="383838"/>
          <w:sz w:val="24"/>
          <w:szCs w:val="24"/>
          <w:lang w:eastAsia="en-AU"/>
        </w:rPr>
      </w:pPr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For more information refer to the </w:t>
      </w:r>
      <w:hyperlink r:id="rId11" w:tgtFrame="_blank" w:history="1">
        <w:r w:rsidRPr="003B12D0">
          <w:rPr>
            <w:rFonts w:eastAsia="Times New Roman" w:cstheme="minorHAnsi"/>
            <w:color w:val="000000"/>
            <w:sz w:val="24"/>
            <w:szCs w:val="24"/>
            <w:u w:val="single"/>
            <w:lang w:eastAsia="en-AU"/>
          </w:rPr>
          <w:t>R Codes - State Planning Policy</w:t>
        </w:r>
      </w:hyperlink>
      <w:r w:rsidRPr="003B12D0">
        <w:rPr>
          <w:rFonts w:eastAsia="Times New Roman" w:cstheme="minorHAnsi"/>
          <w:color w:val="383838"/>
          <w:sz w:val="24"/>
          <w:szCs w:val="24"/>
          <w:lang w:eastAsia="en-AU"/>
        </w:rPr>
        <w:t> and the Shire of Harvey’s Outbuildings Policy (see below).</w:t>
      </w:r>
    </w:p>
    <w:p w14:paraId="01BD57A4" w14:textId="77777777" w:rsidR="00E95F4B" w:rsidRPr="003B12D0" w:rsidRDefault="00E95F4B">
      <w:pPr>
        <w:rPr>
          <w:rFonts w:cstheme="minorHAnsi"/>
          <w:sz w:val="24"/>
          <w:szCs w:val="24"/>
        </w:rPr>
      </w:pPr>
    </w:p>
    <w:sectPr w:rsidR="00E95F4B" w:rsidRPr="003B12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86FD7"/>
    <w:multiLevelType w:val="multilevel"/>
    <w:tmpl w:val="B070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F87F7C"/>
    <w:multiLevelType w:val="multilevel"/>
    <w:tmpl w:val="09A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D0"/>
    <w:rsid w:val="003B12D0"/>
    <w:rsid w:val="00E9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FF97"/>
  <w15:chartTrackingRefBased/>
  <w15:docId w15:val="{1B3287F6-14B9-4DDC-B632-BB68DB74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1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3B1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2D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B12D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Emphasis">
    <w:name w:val="Emphasis"/>
    <w:basedOn w:val="DefaultParagraphFont"/>
    <w:uiPriority w:val="20"/>
    <w:qFormat/>
    <w:rsid w:val="003B12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B12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1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e.wa.gov.au/publications/ba20-notice-and-request-consent-encroach-or-adversely-aff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merce.wa.gov.au/building-and-energy/owner-builder-appli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tercorporation.com.au/Developing-and-building/Building/Lodging-a-building-application" TargetMode="External"/><Relationship Id="rId11" Type="http://schemas.openxmlformats.org/officeDocument/2006/relationships/hyperlink" Target="https://www.dplh.wa.gov.au/rcodes" TargetMode="External"/><Relationship Id="rId5" Type="http://schemas.openxmlformats.org/officeDocument/2006/relationships/hyperlink" Target="https://www.commerce.wa.gov.au/building-commission/building-approval-forms-0" TargetMode="External"/><Relationship Id="rId10" Type="http://schemas.openxmlformats.org/officeDocument/2006/relationships/hyperlink" Target="https://ctf.wa.gov.au/industry/bcitf-le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erce.wa.gov.au/publications/ba20a-notice-and-request-consent-response-notice-protection-structures-party-wa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Herrington</dc:creator>
  <cp:keywords/>
  <dc:description/>
  <cp:lastModifiedBy>Jennie Herrington</cp:lastModifiedBy>
  <cp:revision>1</cp:revision>
  <dcterms:created xsi:type="dcterms:W3CDTF">2021-07-07T02:00:00Z</dcterms:created>
  <dcterms:modified xsi:type="dcterms:W3CDTF">2021-07-07T02:01:00Z</dcterms:modified>
</cp:coreProperties>
</file>